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D504D" w14:textId="77777777" w:rsidR="00A46073" w:rsidRPr="00A46073" w:rsidRDefault="00A46073" w:rsidP="00A46073">
      <w:pPr>
        <w:spacing w:after="0"/>
        <w:jc w:val="center"/>
        <w:rPr>
          <w:rFonts w:ascii="Marianne" w:eastAsia="Calibri" w:hAnsi="Marianne" w:cs="Arial"/>
          <w:b/>
          <w:sz w:val="20"/>
          <w:szCs w:val="20"/>
        </w:rPr>
      </w:pPr>
      <w:r w:rsidRPr="00A46073">
        <w:rPr>
          <w:rFonts w:ascii="Marianne" w:eastAsia="Calibri" w:hAnsi="Marianne" w:cs="Arial"/>
          <w:b/>
          <w:sz w:val="20"/>
          <w:szCs w:val="20"/>
        </w:rPr>
        <w:t xml:space="preserve">Note de présentation </w:t>
      </w:r>
    </w:p>
    <w:p w14:paraId="24FE60DB" w14:textId="77777777" w:rsidR="00F309E4" w:rsidRDefault="00F309E4" w:rsidP="00A46073">
      <w:pPr>
        <w:spacing w:after="0"/>
        <w:jc w:val="center"/>
        <w:rPr>
          <w:rFonts w:ascii="Marianne" w:eastAsia="Calibri" w:hAnsi="Marianne" w:cs="Arial"/>
          <w:b/>
          <w:sz w:val="20"/>
          <w:szCs w:val="20"/>
        </w:rPr>
      </w:pPr>
      <w:r>
        <w:rPr>
          <w:rFonts w:ascii="Marianne" w:eastAsia="Calibri" w:hAnsi="Marianne" w:cs="Arial"/>
          <w:b/>
          <w:sz w:val="20"/>
          <w:szCs w:val="20"/>
        </w:rPr>
        <w:t xml:space="preserve">Comité National de l’eau </w:t>
      </w:r>
    </w:p>
    <w:p w14:paraId="4DD684F4" w14:textId="77777777" w:rsidR="00A46073" w:rsidRPr="00A46073" w:rsidRDefault="00F309E4" w:rsidP="00A46073">
      <w:pPr>
        <w:spacing w:after="0"/>
        <w:jc w:val="center"/>
        <w:rPr>
          <w:rFonts w:ascii="Marianne" w:eastAsia="Calibri" w:hAnsi="Marianne" w:cs="Arial"/>
          <w:b/>
          <w:sz w:val="20"/>
          <w:szCs w:val="20"/>
        </w:rPr>
      </w:pPr>
      <w:r>
        <w:rPr>
          <w:rFonts w:ascii="Marianne" w:eastAsia="Calibri" w:hAnsi="Marianne" w:cs="Arial"/>
          <w:b/>
          <w:sz w:val="20"/>
          <w:szCs w:val="20"/>
        </w:rPr>
        <w:t>26 octobre</w:t>
      </w:r>
      <w:r w:rsidR="00A46073">
        <w:rPr>
          <w:rFonts w:ascii="Marianne" w:eastAsia="Calibri" w:hAnsi="Marianne" w:cs="Arial"/>
          <w:b/>
          <w:sz w:val="20"/>
          <w:szCs w:val="20"/>
        </w:rPr>
        <w:t xml:space="preserve"> 2023</w:t>
      </w:r>
    </w:p>
    <w:p w14:paraId="39B764D9" w14:textId="77777777" w:rsidR="00A46073" w:rsidRPr="00A46073" w:rsidRDefault="00A46073" w:rsidP="00A46073">
      <w:pPr>
        <w:spacing w:after="0"/>
        <w:jc w:val="center"/>
        <w:rPr>
          <w:rFonts w:ascii="Marianne" w:eastAsia="Calibri" w:hAnsi="Marianne" w:cs="Arial"/>
          <w:b/>
          <w:bCs/>
          <w:sz w:val="20"/>
          <w:szCs w:val="20"/>
        </w:rPr>
      </w:pPr>
      <w:r w:rsidRPr="00A46073">
        <w:rPr>
          <w:rFonts w:ascii="Marianne" w:eastAsia="Calibri" w:hAnsi="Marianne" w:cs="Arial"/>
          <w:b/>
          <w:sz w:val="20"/>
          <w:szCs w:val="20"/>
        </w:rPr>
        <w:t xml:space="preserve">Projet </w:t>
      </w:r>
      <w:r w:rsidR="00A620C7">
        <w:rPr>
          <w:rFonts w:ascii="Marianne" w:eastAsia="Calibri" w:hAnsi="Marianne" w:cs="Arial"/>
          <w:b/>
          <w:sz w:val="20"/>
          <w:szCs w:val="20"/>
        </w:rPr>
        <w:t xml:space="preserve">d’arrêté </w:t>
      </w:r>
      <w:r w:rsidR="00A620C7" w:rsidRPr="00A46073">
        <w:rPr>
          <w:rFonts w:ascii="Marianne" w:eastAsia="Calibri" w:hAnsi="Marianne" w:cs="Arial"/>
          <w:b/>
          <w:bCs/>
          <w:sz w:val="20"/>
          <w:szCs w:val="20"/>
        </w:rPr>
        <w:t>fixant</w:t>
      </w:r>
      <w:r w:rsidRPr="00A46073">
        <w:rPr>
          <w:rFonts w:ascii="Marianne" w:eastAsia="Calibri" w:hAnsi="Marianne" w:cs="Arial"/>
          <w:b/>
          <w:bCs/>
          <w:sz w:val="20"/>
          <w:szCs w:val="20"/>
        </w:rPr>
        <w:t xml:space="preserve"> les prescriptions générales applicables aux dragages ou aux rejets y afférent relevant de la rubrique 4.1.3.0 de la nomenclature annexée à l’article R. 214-1 du code de l’environnement en application des articles L. 214-1 à L. 214-3</w:t>
      </w:r>
    </w:p>
    <w:p w14:paraId="4BA4BB5D" w14:textId="77777777" w:rsidR="00A46073" w:rsidRPr="00A46073" w:rsidRDefault="00A46073" w:rsidP="00A46073">
      <w:pPr>
        <w:spacing w:after="0"/>
        <w:jc w:val="center"/>
        <w:rPr>
          <w:rFonts w:ascii="Marianne" w:eastAsia="Calibri" w:hAnsi="Marianne" w:cs="Arial"/>
          <w:sz w:val="20"/>
          <w:szCs w:val="20"/>
        </w:rPr>
      </w:pPr>
    </w:p>
    <w:p w14:paraId="09B4B328" w14:textId="77777777" w:rsidR="00A46073" w:rsidRPr="00A46073" w:rsidRDefault="00A46073" w:rsidP="00A46073">
      <w:pPr>
        <w:numPr>
          <w:ilvl w:val="0"/>
          <w:numId w:val="1"/>
        </w:numPr>
        <w:contextualSpacing/>
        <w:jc w:val="both"/>
        <w:rPr>
          <w:rFonts w:ascii="Marianne" w:eastAsia="Calibri" w:hAnsi="Marianne" w:cs="Arial"/>
          <w:b/>
          <w:sz w:val="20"/>
          <w:szCs w:val="20"/>
        </w:rPr>
      </w:pPr>
      <w:r w:rsidRPr="00A46073">
        <w:rPr>
          <w:rFonts w:ascii="Marianne" w:eastAsia="Calibri" w:hAnsi="Marianne" w:cs="Arial"/>
          <w:b/>
          <w:sz w:val="20"/>
          <w:szCs w:val="20"/>
        </w:rPr>
        <w:t>Contexte</w:t>
      </w:r>
    </w:p>
    <w:p w14:paraId="7449CD3C"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 xml:space="preserve">Le dragage est une opération d'extraction ou de remobilisation de matériaux présents sur les fonds marins et estuariens, dans les canaux, bassins ou chenaux d’accès aux ports, avec pour objectif l’entretien des chenaux de navigation ou la réalisation de travaux et aménagements maritimes. Les opérations de dragage en milieu marin représentent chaque année en France la mobilisation de près de 35 millions de mètres cubes de sédiments issus des chenaux d’accès aux ports et de leurs bassins. La grande majorité des sédiments dragués sont ensuite immergés en mer, on parle d’opération de </w:t>
      </w:r>
      <w:proofErr w:type="spellStart"/>
      <w:r w:rsidRPr="00A46073">
        <w:rPr>
          <w:rFonts w:ascii="Marianne" w:eastAsia="Calibri" w:hAnsi="Marianne" w:cs="Arial"/>
          <w:sz w:val="20"/>
          <w:szCs w:val="20"/>
        </w:rPr>
        <w:t>clapage</w:t>
      </w:r>
      <w:proofErr w:type="spellEnd"/>
      <w:r w:rsidRPr="00A46073">
        <w:rPr>
          <w:rFonts w:ascii="Marianne" w:eastAsia="Calibri" w:hAnsi="Marianne" w:cs="Arial"/>
          <w:sz w:val="20"/>
          <w:szCs w:val="20"/>
        </w:rPr>
        <w:t>.</w:t>
      </w:r>
    </w:p>
    <w:p w14:paraId="4E53707B"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Actuellement, les opérations d’immersion des sédiments de dragage relèvent la plupart du temps d'une autorisation ou d'une déclaration au titre de la loi sur l’eau (rubrique 4.1.3.0 de la nomenclature IOTA) et sont gérées selon des seuils de gestion N1 et N2 prévus par l’arrêté du 9 août 2006</w:t>
      </w:r>
      <w:r w:rsidRPr="00A46073">
        <w:rPr>
          <w:rFonts w:ascii="Marianne" w:eastAsia="Calibri" w:hAnsi="Marianne" w:cs="Arial"/>
          <w:sz w:val="20"/>
          <w:szCs w:val="20"/>
          <w:vertAlign w:val="superscript"/>
        </w:rPr>
        <w:footnoteReference w:id="1"/>
      </w:r>
      <w:r w:rsidRPr="00A46073">
        <w:rPr>
          <w:rFonts w:ascii="Calibri" w:eastAsia="Calibri" w:hAnsi="Calibri" w:cs="Calibri"/>
          <w:sz w:val="20"/>
          <w:szCs w:val="20"/>
        </w:rPr>
        <w:t> </w:t>
      </w:r>
      <w:r w:rsidRPr="00A46073">
        <w:rPr>
          <w:rFonts w:ascii="Marianne" w:eastAsia="Calibri" w:hAnsi="Marianne" w:cs="Arial"/>
          <w:sz w:val="20"/>
          <w:szCs w:val="20"/>
        </w:rPr>
        <w:t>:</w:t>
      </w:r>
    </w:p>
    <w:p w14:paraId="720EF7EC" w14:textId="77777777" w:rsidR="00A46073" w:rsidRPr="00A46073" w:rsidRDefault="00A46073" w:rsidP="00A46073">
      <w:pPr>
        <w:numPr>
          <w:ilvl w:val="0"/>
          <w:numId w:val="6"/>
        </w:numPr>
        <w:contextualSpacing/>
        <w:jc w:val="both"/>
        <w:rPr>
          <w:rFonts w:ascii="Marianne" w:eastAsia="Calibri" w:hAnsi="Marianne" w:cs="Arial"/>
          <w:sz w:val="20"/>
          <w:szCs w:val="20"/>
        </w:rPr>
      </w:pPr>
      <w:r w:rsidRPr="00A46073">
        <w:rPr>
          <w:rFonts w:ascii="Marianne" w:eastAsia="Calibri" w:hAnsi="Marianne" w:cs="Arial"/>
          <w:sz w:val="20"/>
          <w:szCs w:val="20"/>
        </w:rPr>
        <w:t xml:space="preserve">Au-dessous de N1 : l’immersion est autorisée par principe </w:t>
      </w:r>
    </w:p>
    <w:p w14:paraId="4349FF63" w14:textId="77777777" w:rsidR="00A46073" w:rsidRPr="00A46073" w:rsidRDefault="00A46073" w:rsidP="00A46073">
      <w:pPr>
        <w:numPr>
          <w:ilvl w:val="0"/>
          <w:numId w:val="6"/>
        </w:numPr>
        <w:contextualSpacing/>
        <w:jc w:val="both"/>
        <w:rPr>
          <w:rFonts w:ascii="Marianne" w:eastAsia="Calibri" w:hAnsi="Marianne" w:cs="Arial"/>
          <w:sz w:val="20"/>
          <w:szCs w:val="20"/>
        </w:rPr>
      </w:pPr>
      <w:r w:rsidRPr="00A46073">
        <w:rPr>
          <w:rFonts w:ascii="Marianne" w:eastAsia="Calibri" w:hAnsi="Marianne" w:cs="Arial"/>
          <w:sz w:val="20"/>
          <w:szCs w:val="20"/>
        </w:rPr>
        <w:t>Entre N1 et N2 : des études complémentaires peuvent être demandées par le service instructeur pour évaluer les effets sur le milieu marin (procédure de déclaration)</w:t>
      </w:r>
    </w:p>
    <w:p w14:paraId="08D74D1D" w14:textId="77777777" w:rsidR="00A46073" w:rsidRPr="00A46073" w:rsidRDefault="00A46073" w:rsidP="00A46073">
      <w:pPr>
        <w:numPr>
          <w:ilvl w:val="0"/>
          <w:numId w:val="6"/>
        </w:numPr>
        <w:contextualSpacing/>
        <w:jc w:val="both"/>
        <w:rPr>
          <w:rFonts w:ascii="Marianne" w:eastAsia="Calibri" w:hAnsi="Marianne" w:cs="Arial"/>
          <w:sz w:val="20"/>
          <w:szCs w:val="20"/>
        </w:rPr>
      </w:pPr>
      <w:r w:rsidRPr="00A46073">
        <w:rPr>
          <w:rFonts w:ascii="Marianne" w:eastAsia="Calibri" w:hAnsi="Marianne" w:cs="Arial"/>
          <w:sz w:val="20"/>
          <w:szCs w:val="20"/>
        </w:rPr>
        <w:t>Au-delà de N2 : l’immersion peut être autorisée à titre exceptionnel, en fonction du contexte (procédure d’autorisation)</w:t>
      </w:r>
    </w:p>
    <w:p w14:paraId="46B60456"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b/>
          <w:sz w:val="20"/>
          <w:szCs w:val="20"/>
        </w:rPr>
        <w:t>La loi du 20 juin 2016 pour l’économie bleue a introduit dans son article 85 un principe d’interdiction de l’immersion des sédiments au-delà d’un certain seuil de pollution</w:t>
      </w:r>
      <w:r w:rsidRPr="00A46073">
        <w:rPr>
          <w:rFonts w:ascii="Calibri" w:eastAsia="Calibri" w:hAnsi="Calibri" w:cs="Calibri"/>
          <w:sz w:val="20"/>
          <w:szCs w:val="20"/>
        </w:rPr>
        <w:t> </w:t>
      </w:r>
      <w:r w:rsidRPr="00A46073">
        <w:rPr>
          <w:rFonts w:ascii="Marianne" w:eastAsia="Calibri" w:hAnsi="Marianne" w:cs="Arial"/>
          <w:sz w:val="20"/>
          <w:szCs w:val="20"/>
        </w:rPr>
        <w:t>:</w:t>
      </w:r>
    </w:p>
    <w:p w14:paraId="4FD136ED"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w:t>
      </w:r>
      <w:r w:rsidRPr="00A46073">
        <w:rPr>
          <w:rFonts w:ascii="Calibri" w:eastAsia="Calibri" w:hAnsi="Calibri" w:cs="Calibri"/>
          <w:sz w:val="20"/>
          <w:szCs w:val="20"/>
        </w:rPr>
        <w:t> </w:t>
      </w:r>
      <w:r w:rsidRPr="00A46073">
        <w:rPr>
          <w:rFonts w:ascii="Marianne" w:eastAsia="Calibri" w:hAnsi="Marianne" w:cs="Arial"/>
          <w:i/>
          <w:sz w:val="20"/>
          <w:szCs w:val="20"/>
        </w:rPr>
        <w:t>A partir du 1er janvier 2025, le rejet en mer des s</w:t>
      </w:r>
      <w:r w:rsidRPr="00A46073">
        <w:rPr>
          <w:rFonts w:ascii="Marianne" w:eastAsia="Calibri" w:hAnsi="Marianne" w:cs="Marianne"/>
          <w:i/>
          <w:sz w:val="20"/>
          <w:szCs w:val="20"/>
        </w:rPr>
        <w:t>é</w:t>
      </w:r>
      <w:r w:rsidRPr="00A46073">
        <w:rPr>
          <w:rFonts w:ascii="Marianne" w:eastAsia="Calibri" w:hAnsi="Marianne" w:cs="Arial"/>
          <w:i/>
          <w:sz w:val="20"/>
          <w:szCs w:val="20"/>
        </w:rPr>
        <w:t>diments et r</w:t>
      </w:r>
      <w:r w:rsidRPr="00A46073">
        <w:rPr>
          <w:rFonts w:ascii="Marianne" w:eastAsia="Calibri" w:hAnsi="Marianne" w:cs="Marianne"/>
          <w:i/>
          <w:sz w:val="20"/>
          <w:szCs w:val="20"/>
        </w:rPr>
        <w:t>é</w:t>
      </w:r>
      <w:r w:rsidRPr="00A46073">
        <w:rPr>
          <w:rFonts w:ascii="Marianne" w:eastAsia="Calibri" w:hAnsi="Marianne" w:cs="Arial"/>
          <w:i/>
          <w:sz w:val="20"/>
          <w:szCs w:val="20"/>
        </w:rPr>
        <w:t>sidus de dragage pollu</w:t>
      </w:r>
      <w:r w:rsidRPr="00A46073">
        <w:rPr>
          <w:rFonts w:ascii="Marianne" w:eastAsia="Calibri" w:hAnsi="Marianne" w:cs="Marianne"/>
          <w:i/>
          <w:sz w:val="20"/>
          <w:szCs w:val="20"/>
        </w:rPr>
        <w:t>é</w:t>
      </w:r>
      <w:r w:rsidRPr="00A46073">
        <w:rPr>
          <w:rFonts w:ascii="Marianne" w:eastAsia="Calibri" w:hAnsi="Marianne" w:cs="Arial"/>
          <w:i/>
          <w:sz w:val="20"/>
          <w:szCs w:val="20"/>
        </w:rPr>
        <w:t>s est interdit. Une filière de traitement des sédiments et résidus et de récupération des macro-déchets associés est mise en place. Les seuils au-delà desquels les sédiments et résidus ne peuvent être immergés sont définis par voie réglementaire.</w:t>
      </w:r>
      <w:r w:rsidRPr="00A46073">
        <w:rPr>
          <w:rFonts w:ascii="Calibri" w:eastAsia="Calibri" w:hAnsi="Calibri" w:cs="Calibri"/>
          <w:i/>
          <w:sz w:val="20"/>
          <w:szCs w:val="20"/>
        </w:rPr>
        <w:t> </w:t>
      </w:r>
      <w:r w:rsidRPr="00A46073">
        <w:rPr>
          <w:rFonts w:ascii="Marianne" w:eastAsia="Calibri" w:hAnsi="Marianne" w:cs="Marianne"/>
          <w:sz w:val="20"/>
          <w:szCs w:val="20"/>
        </w:rPr>
        <w:t>»</w:t>
      </w:r>
    </w:p>
    <w:p w14:paraId="2834FA37" w14:textId="77777777" w:rsidR="00A46073" w:rsidRPr="00A46073" w:rsidRDefault="00A46073" w:rsidP="00A46073">
      <w:pPr>
        <w:numPr>
          <w:ilvl w:val="0"/>
          <w:numId w:val="1"/>
        </w:numPr>
        <w:contextualSpacing/>
        <w:jc w:val="both"/>
        <w:rPr>
          <w:rFonts w:ascii="Marianne" w:eastAsia="Calibri" w:hAnsi="Marianne" w:cs="Arial"/>
          <w:b/>
          <w:sz w:val="20"/>
          <w:szCs w:val="20"/>
        </w:rPr>
      </w:pPr>
      <w:r w:rsidRPr="00A46073">
        <w:rPr>
          <w:rFonts w:ascii="Marianne" w:eastAsia="Calibri" w:hAnsi="Marianne" w:cs="Arial"/>
          <w:b/>
          <w:sz w:val="20"/>
          <w:szCs w:val="20"/>
        </w:rPr>
        <w:t>Étude comparative et scientifique sur les seuils environnementaux en matière d’immersion des sédiments de dragage</w:t>
      </w:r>
    </w:p>
    <w:p w14:paraId="136FDAD6" w14:textId="77777777" w:rsidR="00A46073" w:rsidRPr="00A46073" w:rsidRDefault="00412BC9" w:rsidP="00A46073">
      <w:pPr>
        <w:ind w:firstLine="360"/>
        <w:jc w:val="both"/>
        <w:rPr>
          <w:rFonts w:ascii="Marianne" w:eastAsia="Calibri" w:hAnsi="Marianne" w:cs="Arial"/>
          <w:sz w:val="20"/>
          <w:szCs w:val="20"/>
        </w:rPr>
      </w:pPr>
      <w:r>
        <w:rPr>
          <w:rFonts w:ascii="Marianne" w:eastAsia="Calibri" w:hAnsi="Marianne" w:cs="Arial"/>
          <w:sz w:val="20"/>
          <w:szCs w:val="20"/>
        </w:rPr>
        <w:t xml:space="preserve">La </w:t>
      </w:r>
      <w:r w:rsidR="00A46073" w:rsidRPr="00A46073">
        <w:rPr>
          <w:rFonts w:ascii="Marianne" w:eastAsia="Calibri" w:hAnsi="Marianne" w:cs="Arial"/>
          <w:sz w:val="20"/>
          <w:szCs w:val="20"/>
        </w:rPr>
        <w:t xml:space="preserve">Direction de l'Eau et de la Biodiversité et la Direction des transports ferroviaires, fluviaux et des ports ont </w:t>
      </w:r>
      <w:proofErr w:type="spellStart"/>
      <w:r w:rsidR="00A46073" w:rsidRPr="00A46073">
        <w:rPr>
          <w:rFonts w:ascii="Marianne" w:eastAsia="Calibri" w:hAnsi="Marianne" w:cs="Arial"/>
          <w:sz w:val="20"/>
          <w:szCs w:val="20"/>
        </w:rPr>
        <w:t>copiloté</w:t>
      </w:r>
      <w:proofErr w:type="spellEnd"/>
      <w:r w:rsidR="00A46073" w:rsidRPr="00A46073">
        <w:rPr>
          <w:rFonts w:ascii="Marianne" w:eastAsia="Calibri" w:hAnsi="Marianne" w:cs="Arial"/>
          <w:sz w:val="20"/>
          <w:szCs w:val="20"/>
        </w:rPr>
        <w:t xml:space="preserve"> et cofinancé une étude comparative et scientifique sur les seuils environnementaux en matière d’immersion des sédiments de dragage. </w:t>
      </w:r>
    </w:p>
    <w:p w14:paraId="452B08D3"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 xml:space="preserve">Cette étude a été lancée courant 2020 et confiée au cabinet d’études EGIS associé au BRGM et au bureau d’étude IDRA. La direction générale de la prévention des risques (service des risques sanitaires liés à l'environnement des déchets et des pollutions diffuses) et la direction générale des affaires maritimes, de la pêche maritime et de l’aquaculture (mission nautisme et plaisance) font partie du comité de pilotage. En raison des enjeux économiques majeurs du dragage pour les ports, certains grands ports maritimes (Bordeaux, Nantes, La Rochelle, La Réunion) sont intégrés au comité </w:t>
      </w:r>
      <w:r w:rsidRPr="00A46073">
        <w:rPr>
          <w:rFonts w:ascii="Marianne" w:eastAsia="Calibri" w:hAnsi="Marianne" w:cs="Arial"/>
          <w:sz w:val="20"/>
          <w:szCs w:val="20"/>
        </w:rPr>
        <w:lastRenderedPageBreak/>
        <w:t>technique de cette étude. L’IFREMER et le CEREMA sont également membres associés pour la partie scientifique.</w:t>
      </w:r>
    </w:p>
    <w:p w14:paraId="1EFE72A0" w14:textId="77777777" w:rsidR="00412BC9" w:rsidRDefault="00A46073" w:rsidP="00412BC9">
      <w:pPr>
        <w:ind w:firstLine="360"/>
        <w:jc w:val="both"/>
        <w:rPr>
          <w:rFonts w:ascii="Marianne" w:eastAsia="Calibri" w:hAnsi="Marianne" w:cs="Arial"/>
          <w:sz w:val="20"/>
          <w:szCs w:val="20"/>
        </w:rPr>
      </w:pPr>
      <w:r w:rsidRPr="00A46073">
        <w:rPr>
          <w:rFonts w:ascii="Marianne" w:eastAsia="Calibri" w:hAnsi="Marianne" w:cs="Arial"/>
          <w:sz w:val="20"/>
          <w:szCs w:val="20"/>
        </w:rPr>
        <w:t>L’étude a été composée de trois actions</w:t>
      </w:r>
      <w:r w:rsidRPr="00A46073">
        <w:rPr>
          <w:rFonts w:ascii="Calibri" w:eastAsia="Calibri" w:hAnsi="Calibri" w:cs="Calibri"/>
          <w:sz w:val="20"/>
          <w:szCs w:val="20"/>
        </w:rPr>
        <w:t> </w:t>
      </w:r>
      <w:r w:rsidRPr="00A46073">
        <w:rPr>
          <w:rFonts w:ascii="Marianne" w:eastAsia="Calibri" w:hAnsi="Marianne" w:cs="Arial"/>
          <w:sz w:val="20"/>
          <w:szCs w:val="20"/>
        </w:rPr>
        <w:t>:</w:t>
      </w:r>
    </w:p>
    <w:p w14:paraId="22803427" w14:textId="77777777" w:rsidR="00A46073" w:rsidRPr="00412BC9" w:rsidRDefault="00A46073" w:rsidP="00412BC9">
      <w:pPr>
        <w:pStyle w:val="Paragraphedeliste"/>
        <w:numPr>
          <w:ilvl w:val="0"/>
          <w:numId w:val="7"/>
        </w:numPr>
        <w:ind w:left="284" w:firstLine="0"/>
        <w:jc w:val="both"/>
        <w:rPr>
          <w:rFonts w:ascii="Marianne" w:eastAsia="Calibri" w:hAnsi="Marianne" w:cs="Arial"/>
          <w:sz w:val="20"/>
          <w:szCs w:val="20"/>
        </w:rPr>
      </w:pPr>
      <w:r w:rsidRPr="00412BC9">
        <w:rPr>
          <w:rFonts w:ascii="Marianne" w:eastAsia="Calibri" w:hAnsi="Marianne" w:cs="Arial"/>
          <w:sz w:val="20"/>
          <w:szCs w:val="20"/>
        </w:rPr>
        <w:t>Dans un premier temps, un parangonnage international et européen a établi un bilan de la réglementation et des pratiques au niveau national et international en matière de gestion des sédiments de dragage.</w:t>
      </w:r>
    </w:p>
    <w:p w14:paraId="2B5D6F58" w14:textId="77777777" w:rsidR="00A46073" w:rsidRPr="00A46073" w:rsidRDefault="00A46073" w:rsidP="00412BC9">
      <w:pPr>
        <w:numPr>
          <w:ilvl w:val="0"/>
          <w:numId w:val="3"/>
        </w:numPr>
        <w:ind w:left="142" w:firstLine="218"/>
        <w:contextualSpacing/>
        <w:jc w:val="both"/>
        <w:rPr>
          <w:rFonts w:ascii="Marianne" w:eastAsia="Calibri" w:hAnsi="Marianne" w:cs="Arial"/>
          <w:sz w:val="20"/>
          <w:szCs w:val="20"/>
        </w:rPr>
      </w:pPr>
      <w:r w:rsidRPr="00A46073">
        <w:rPr>
          <w:rFonts w:ascii="Marianne" w:eastAsia="Calibri" w:hAnsi="Marianne" w:cs="Arial"/>
          <w:sz w:val="20"/>
          <w:szCs w:val="20"/>
        </w:rPr>
        <w:t>La deuxième phase de l’étude visait à établir une méthodologie définissant les valeurs de seuils environnementaux d'interdiction d’immersion de sédiments de dragage pollués et de proposer plusieurs scénarios.</w:t>
      </w:r>
      <w:r w:rsidRPr="00A46073">
        <w:rPr>
          <w:rFonts w:ascii="Marianne" w:eastAsia="Calibri" w:hAnsi="Marianne" w:cs="Arial"/>
          <w:sz w:val="20"/>
          <w:szCs w:val="20"/>
        </w:rPr>
        <w:tab/>
      </w:r>
    </w:p>
    <w:p w14:paraId="3A855F22" w14:textId="77777777" w:rsidR="00A46073" w:rsidRPr="00253E24" w:rsidRDefault="00A46073" w:rsidP="00A46073">
      <w:pPr>
        <w:numPr>
          <w:ilvl w:val="0"/>
          <w:numId w:val="3"/>
        </w:numPr>
        <w:contextualSpacing/>
        <w:jc w:val="both"/>
        <w:rPr>
          <w:rFonts w:ascii="Marianne" w:eastAsia="Calibri" w:hAnsi="Marianne" w:cs="Arial"/>
          <w:sz w:val="20"/>
          <w:szCs w:val="20"/>
        </w:rPr>
      </w:pPr>
      <w:r w:rsidRPr="00A46073">
        <w:rPr>
          <w:rFonts w:ascii="Marianne" w:eastAsia="Calibri" w:hAnsi="Marianne" w:cs="Arial"/>
          <w:sz w:val="20"/>
          <w:szCs w:val="20"/>
        </w:rPr>
        <w:t>La troisième étape analysait les impacts économiques et environnementaux en fonction des différents scénarios</w:t>
      </w:r>
      <w:r w:rsidRPr="00A46073">
        <w:rPr>
          <w:rFonts w:ascii="Calibri" w:eastAsia="Calibri" w:hAnsi="Calibri" w:cs="Calibri"/>
          <w:sz w:val="20"/>
          <w:szCs w:val="20"/>
        </w:rPr>
        <w:t>.</w:t>
      </w:r>
    </w:p>
    <w:p w14:paraId="299F5EDD" w14:textId="77777777" w:rsidR="00870E18" w:rsidRPr="00A46073" w:rsidRDefault="00870E18" w:rsidP="00870E18">
      <w:pPr>
        <w:ind w:left="720"/>
        <w:contextualSpacing/>
        <w:jc w:val="both"/>
        <w:rPr>
          <w:rFonts w:ascii="Marianne" w:eastAsia="Calibri" w:hAnsi="Marianne" w:cs="Arial"/>
          <w:sz w:val="20"/>
          <w:szCs w:val="20"/>
        </w:rPr>
      </w:pPr>
    </w:p>
    <w:p w14:paraId="62071103" w14:textId="77777777" w:rsidR="00870E18" w:rsidRPr="00A46073" w:rsidRDefault="00870E18" w:rsidP="00870E18">
      <w:pPr>
        <w:ind w:left="720"/>
        <w:contextualSpacing/>
        <w:jc w:val="both"/>
        <w:rPr>
          <w:rFonts w:ascii="Marianne" w:eastAsia="Calibri" w:hAnsi="Marianne" w:cs="Arial"/>
          <w:sz w:val="20"/>
          <w:szCs w:val="20"/>
        </w:rPr>
      </w:pPr>
    </w:p>
    <w:p w14:paraId="442479EE"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 xml:space="preserve">Les conséquences économiques et environnementales de ces scénarios, liées à la gestion à terre </w:t>
      </w:r>
      <w:r w:rsidR="00412BC9">
        <w:rPr>
          <w:rFonts w:ascii="Marianne" w:eastAsia="Calibri" w:hAnsi="Marianne" w:cs="Arial"/>
          <w:sz w:val="20"/>
          <w:szCs w:val="20"/>
        </w:rPr>
        <w:t>des sédiments dont ils interdis</w:t>
      </w:r>
      <w:r w:rsidRPr="00A46073">
        <w:rPr>
          <w:rFonts w:ascii="Marianne" w:eastAsia="Calibri" w:hAnsi="Marianne" w:cs="Arial"/>
          <w:sz w:val="20"/>
          <w:szCs w:val="20"/>
        </w:rPr>
        <w:t>ent l’immersion, ont ensuite été étudiées à travers 4 indicateurs</w:t>
      </w:r>
      <w:r w:rsidRPr="00A46073">
        <w:rPr>
          <w:rFonts w:ascii="Calibri" w:eastAsia="Calibri" w:hAnsi="Calibri" w:cs="Calibri"/>
          <w:sz w:val="20"/>
          <w:szCs w:val="20"/>
        </w:rPr>
        <w:t> </w:t>
      </w:r>
      <w:r w:rsidRPr="00A46073">
        <w:rPr>
          <w:rFonts w:ascii="Marianne" w:eastAsia="Calibri" w:hAnsi="Marianne" w:cs="Arial"/>
          <w:sz w:val="20"/>
          <w:szCs w:val="20"/>
        </w:rPr>
        <w:t>:</w:t>
      </w:r>
    </w:p>
    <w:p w14:paraId="46667122" w14:textId="77777777" w:rsidR="00A46073" w:rsidRPr="00A46073" w:rsidRDefault="00A46073" w:rsidP="00A46073">
      <w:pPr>
        <w:numPr>
          <w:ilvl w:val="0"/>
          <w:numId w:val="5"/>
        </w:numPr>
        <w:contextualSpacing/>
        <w:jc w:val="both"/>
        <w:rPr>
          <w:rFonts w:ascii="Marianne" w:eastAsia="Calibri" w:hAnsi="Marianne" w:cs="Arial"/>
          <w:sz w:val="20"/>
          <w:szCs w:val="20"/>
        </w:rPr>
      </w:pPr>
      <w:r w:rsidRPr="00A46073">
        <w:rPr>
          <w:rFonts w:ascii="Marianne" w:eastAsia="Calibri" w:hAnsi="Marianne" w:cs="Arial"/>
          <w:sz w:val="20"/>
          <w:szCs w:val="20"/>
        </w:rPr>
        <w:t>Les coûts de la gestion (€)</w:t>
      </w:r>
    </w:p>
    <w:p w14:paraId="630EFEBD" w14:textId="77777777" w:rsidR="00A46073" w:rsidRPr="00A46073" w:rsidRDefault="00A46073" w:rsidP="00A46073">
      <w:pPr>
        <w:numPr>
          <w:ilvl w:val="0"/>
          <w:numId w:val="5"/>
        </w:numPr>
        <w:contextualSpacing/>
        <w:jc w:val="both"/>
        <w:rPr>
          <w:rFonts w:ascii="Marianne" w:eastAsia="Calibri" w:hAnsi="Marianne" w:cs="Arial"/>
          <w:sz w:val="20"/>
          <w:szCs w:val="20"/>
        </w:rPr>
      </w:pPr>
      <w:r w:rsidRPr="00A46073">
        <w:rPr>
          <w:rFonts w:ascii="Marianne" w:eastAsia="Calibri" w:hAnsi="Marianne" w:cs="Arial"/>
          <w:sz w:val="20"/>
          <w:szCs w:val="20"/>
        </w:rPr>
        <w:t>Les émissions de gaz à effet de serre (kg</w:t>
      </w:r>
      <w:bookmarkStart w:id="0" w:name="_GoBack"/>
      <w:bookmarkEnd w:id="0"/>
      <w:r w:rsidRPr="00A46073">
        <w:rPr>
          <w:rFonts w:ascii="Marianne" w:eastAsia="Calibri" w:hAnsi="Marianne" w:cs="Arial"/>
          <w:sz w:val="20"/>
          <w:szCs w:val="20"/>
        </w:rPr>
        <w:t xml:space="preserve"> de CO2)</w:t>
      </w:r>
    </w:p>
    <w:p w14:paraId="514F8D3F" w14:textId="77777777" w:rsidR="00A46073" w:rsidRPr="00A46073" w:rsidRDefault="00A46073" w:rsidP="00A46073">
      <w:pPr>
        <w:numPr>
          <w:ilvl w:val="0"/>
          <w:numId w:val="5"/>
        </w:numPr>
        <w:contextualSpacing/>
        <w:jc w:val="both"/>
        <w:rPr>
          <w:rFonts w:ascii="Marianne" w:eastAsia="Calibri" w:hAnsi="Marianne" w:cs="Arial"/>
          <w:sz w:val="20"/>
          <w:szCs w:val="20"/>
        </w:rPr>
      </w:pPr>
      <w:r w:rsidRPr="00A46073">
        <w:rPr>
          <w:rFonts w:ascii="Marianne" w:eastAsia="Calibri" w:hAnsi="Marianne" w:cs="Arial"/>
          <w:sz w:val="20"/>
          <w:szCs w:val="20"/>
        </w:rPr>
        <w:t>Le foncier consommé (m²)</w:t>
      </w:r>
    </w:p>
    <w:p w14:paraId="73EA9C00" w14:textId="77777777" w:rsidR="00A46073" w:rsidRPr="00A46073" w:rsidRDefault="00A46073" w:rsidP="00A46073">
      <w:pPr>
        <w:numPr>
          <w:ilvl w:val="0"/>
          <w:numId w:val="5"/>
        </w:numPr>
        <w:contextualSpacing/>
        <w:jc w:val="both"/>
        <w:rPr>
          <w:rFonts w:ascii="Marianne" w:eastAsia="Calibri" w:hAnsi="Marianne" w:cs="Arial"/>
          <w:sz w:val="20"/>
          <w:szCs w:val="20"/>
        </w:rPr>
      </w:pPr>
      <w:r w:rsidRPr="00A46073">
        <w:rPr>
          <w:rFonts w:ascii="Marianne" w:eastAsia="Calibri" w:hAnsi="Marianne" w:cs="Arial"/>
          <w:sz w:val="20"/>
          <w:szCs w:val="20"/>
        </w:rPr>
        <w:t>Le niveau de protection du milieu marin (adapté de l’approche GEODRISK</w:t>
      </w:r>
      <w:r w:rsidRPr="00A46073">
        <w:rPr>
          <w:rFonts w:ascii="Marianne" w:eastAsia="Calibri" w:hAnsi="Marianne" w:cs="Arial"/>
          <w:sz w:val="20"/>
          <w:szCs w:val="20"/>
          <w:vertAlign w:val="superscript"/>
        </w:rPr>
        <w:footnoteReference w:id="2"/>
      </w:r>
      <w:r w:rsidRPr="00A46073">
        <w:rPr>
          <w:rFonts w:ascii="Marianne" w:eastAsia="Calibri" w:hAnsi="Marianne" w:cs="Arial"/>
          <w:sz w:val="20"/>
          <w:szCs w:val="20"/>
        </w:rPr>
        <w:t>)</w:t>
      </w:r>
    </w:p>
    <w:p w14:paraId="0A6F9E58" w14:textId="77777777" w:rsidR="00A46073" w:rsidRPr="00A46073" w:rsidRDefault="00F11D31" w:rsidP="00A46073">
      <w:pPr>
        <w:numPr>
          <w:ilvl w:val="0"/>
          <w:numId w:val="1"/>
        </w:numPr>
        <w:contextualSpacing/>
        <w:jc w:val="both"/>
        <w:rPr>
          <w:rFonts w:ascii="Marianne" w:eastAsia="Calibri" w:hAnsi="Marianne" w:cs="Arial"/>
          <w:b/>
          <w:sz w:val="20"/>
          <w:szCs w:val="20"/>
        </w:rPr>
      </w:pPr>
      <w:r>
        <w:rPr>
          <w:rFonts w:ascii="Marianne" w:eastAsia="Calibri" w:hAnsi="Marianne" w:cs="Arial"/>
          <w:b/>
          <w:sz w:val="20"/>
          <w:szCs w:val="20"/>
        </w:rPr>
        <w:t xml:space="preserve">Choix du scénario. </w:t>
      </w:r>
    </w:p>
    <w:p w14:paraId="771A50A2" w14:textId="061425F6" w:rsidR="00A46073" w:rsidRPr="00A46073" w:rsidRDefault="00A46073" w:rsidP="00A46073">
      <w:pPr>
        <w:ind w:firstLine="360"/>
        <w:jc w:val="both"/>
        <w:rPr>
          <w:rFonts w:ascii="Marianne" w:eastAsia="Calibri" w:hAnsi="Marianne" w:cs="Calibri"/>
          <w:sz w:val="20"/>
          <w:szCs w:val="20"/>
        </w:rPr>
      </w:pPr>
      <w:r w:rsidRPr="00A46073">
        <w:rPr>
          <w:rFonts w:ascii="Marianne" w:eastAsia="Calibri" w:hAnsi="Marianne" w:cs="Arial"/>
          <w:sz w:val="20"/>
          <w:szCs w:val="20"/>
        </w:rPr>
        <w:t xml:space="preserve">Un Comité de Pilotage (COPIL) s’est réuni le 21 avril 2023 pour </w:t>
      </w:r>
      <w:r w:rsidR="001D1D18">
        <w:rPr>
          <w:rFonts w:ascii="Marianne" w:eastAsia="Calibri" w:hAnsi="Marianne" w:cs="Arial"/>
          <w:sz w:val="20"/>
          <w:szCs w:val="20"/>
        </w:rPr>
        <w:t>valider le scénario retenu</w:t>
      </w:r>
      <w:r w:rsidR="00D77DA3">
        <w:rPr>
          <w:rFonts w:ascii="Marianne" w:eastAsia="Calibri" w:hAnsi="Marianne" w:cs="Arial"/>
          <w:sz w:val="20"/>
          <w:szCs w:val="20"/>
        </w:rPr>
        <w:t xml:space="preserve">, </w:t>
      </w:r>
      <w:r w:rsidRPr="00A46073">
        <w:rPr>
          <w:rFonts w:ascii="Marianne" w:eastAsia="Calibri" w:hAnsi="Marianne" w:cs="Arial"/>
          <w:sz w:val="20"/>
          <w:szCs w:val="20"/>
        </w:rPr>
        <w:t>réuni</w:t>
      </w:r>
      <w:r w:rsidR="00D77DA3">
        <w:rPr>
          <w:rFonts w:ascii="Marianne" w:eastAsia="Calibri" w:hAnsi="Marianne" w:cs="Arial"/>
          <w:sz w:val="20"/>
          <w:szCs w:val="20"/>
        </w:rPr>
        <w:t>ssant</w:t>
      </w:r>
      <w:r w:rsidRPr="00A46073">
        <w:rPr>
          <w:rFonts w:ascii="Marianne" w:eastAsia="Calibri" w:hAnsi="Marianne" w:cs="Arial"/>
          <w:sz w:val="20"/>
          <w:szCs w:val="20"/>
        </w:rPr>
        <w:t xml:space="preserve"> plusieurs directions d’administration centrale</w:t>
      </w:r>
      <w:r w:rsidRPr="00A46073">
        <w:rPr>
          <w:rFonts w:ascii="Calibri" w:eastAsia="Calibri" w:hAnsi="Calibri" w:cs="Calibri"/>
          <w:sz w:val="20"/>
          <w:szCs w:val="20"/>
        </w:rPr>
        <w:t> </w:t>
      </w:r>
      <w:r w:rsidRPr="00A46073">
        <w:rPr>
          <w:rFonts w:ascii="Marianne" w:eastAsia="Calibri" w:hAnsi="Marianne" w:cs="Arial"/>
          <w:sz w:val="20"/>
          <w:szCs w:val="20"/>
        </w:rPr>
        <w:t>: la</w:t>
      </w:r>
      <w:r w:rsidRPr="00A46073">
        <w:rPr>
          <w:rFonts w:ascii="Arial" w:eastAsia="Calibri" w:hAnsi="Arial" w:cs="Arial"/>
          <w:sz w:val="20"/>
          <w:szCs w:val="20"/>
        </w:rPr>
        <w:t xml:space="preserve"> DEB, la </w:t>
      </w:r>
      <w:r w:rsidRPr="00A46073">
        <w:rPr>
          <w:rFonts w:ascii="Marianne" w:eastAsia="Calibri" w:hAnsi="Marianne" w:cs="Arial"/>
          <w:sz w:val="20"/>
          <w:szCs w:val="20"/>
        </w:rPr>
        <w:t xml:space="preserve">DGITM, la DGPR et la DGAMPA. </w:t>
      </w:r>
      <w:r w:rsidRPr="00A46073">
        <w:rPr>
          <w:rFonts w:ascii="Marianne" w:eastAsia="Calibri" w:hAnsi="Marianne" w:cs="Arial"/>
          <w:noProof/>
          <w:sz w:val="20"/>
          <w:szCs w:val="20"/>
          <w:lang w:eastAsia="fr-FR"/>
        </w:rPr>
        <w:drawing>
          <wp:anchor distT="0" distB="0" distL="114300" distR="114300" simplePos="0" relativeHeight="251659264" behindDoc="0" locked="0" layoutInCell="1" allowOverlap="1" wp14:anchorId="00666943" wp14:editId="73E0D912">
            <wp:simplePos x="0" y="0"/>
            <wp:positionH relativeFrom="margin">
              <wp:align>center</wp:align>
            </wp:positionH>
            <wp:positionV relativeFrom="paragraph">
              <wp:posOffset>1069975</wp:posOffset>
            </wp:positionV>
            <wp:extent cx="4726940" cy="102044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6940" cy="1020445"/>
                    </a:xfrm>
                    <a:prstGeom prst="rect">
                      <a:avLst/>
                    </a:prstGeom>
                    <a:noFill/>
                  </pic:spPr>
                </pic:pic>
              </a:graphicData>
            </a:graphic>
          </wp:anchor>
        </w:drawing>
      </w:r>
      <w:r w:rsidR="00D77DA3">
        <w:rPr>
          <w:rFonts w:ascii="Marianne" w:eastAsia="Calibri" w:hAnsi="Marianne" w:cs="Arial"/>
          <w:sz w:val="20"/>
          <w:szCs w:val="20"/>
        </w:rPr>
        <w:t xml:space="preserve">Il est à noter que </w:t>
      </w:r>
      <w:r w:rsidRPr="00A46073">
        <w:rPr>
          <w:rFonts w:ascii="Marianne" w:eastAsia="Calibri" w:hAnsi="Marianne" w:cs="Arial"/>
          <w:sz w:val="20"/>
          <w:szCs w:val="20"/>
        </w:rPr>
        <w:t xml:space="preserve">la mise en place de seuils d’interdiction fixés </w:t>
      </w:r>
      <w:r w:rsidR="001D1D18">
        <w:rPr>
          <w:rFonts w:ascii="Marianne" w:eastAsia="Calibri" w:hAnsi="Marianne" w:cs="Arial"/>
          <w:sz w:val="20"/>
          <w:szCs w:val="20"/>
        </w:rPr>
        <w:t>à un</w:t>
      </w:r>
      <w:r w:rsidRPr="00A46073">
        <w:rPr>
          <w:rFonts w:ascii="Marianne" w:eastAsia="Calibri" w:hAnsi="Marianne" w:cs="Arial"/>
          <w:sz w:val="20"/>
          <w:szCs w:val="20"/>
        </w:rPr>
        <w:t xml:space="preserve"> niveau </w:t>
      </w:r>
      <w:r w:rsidR="001D1D18">
        <w:rPr>
          <w:rFonts w:ascii="Marianne" w:eastAsia="Calibri" w:hAnsi="Marianne" w:cs="Arial"/>
          <w:sz w:val="20"/>
          <w:szCs w:val="20"/>
        </w:rPr>
        <w:t>désigné ci-après « </w:t>
      </w:r>
      <w:r w:rsidRPr="00A46073">
        <w:rPr>
          <w:rFonts w:ascii="Marianne" w:eastAsia="Calibri" w:hAnsi="Marianne" w:cs="Arial"/>
          <w:sz w:val="20"/>
          <w:szCs w:val="20"/>
        </w:rPr>
        <w:t>Alt1</w:t>
      </w:r>
      <w:r w:rsidR="001D1D18">
        <w:rPr>
          <w:rFonts w:ascii="Marianne" w:eastAsia="Calibri" w:hAnsi="Marianne" w:cs="Arial"/>
          <w:sz w:val="20"/>
          <w:szCs w:val="20"/>
        </w:rPr>
        <w:t> »</w:t>
      </w:r>
      <w:r w:rsidRPr="00A46073">
        <w:rPr>
          <w:rFonts w:ascii="Marianne" w:eastAsia="Calibri" w:hAnsi="Marianne" w:cs="Arial"/>
          <w:sz w:val="20"/>
          <w:szCs w:val="20"/>
        </w:rPr>
        <w:t xml:space="preserve"> ne se substituerait pas au régime de dé</w:t>
      </w:r>
      <w:r w:rsidRPr="00A46073">
        <w:rPr>
          <w:rFonts w:ascii="Marianne" w:eastAsia="Calibri" w:hAnsi="Marianne" w:cs="Calibri"/>
          <w:sz w:val="20"/>
          <w:szCs w:val="20"/>
        </w:rPr>
        <w:t xml:space="preserve">claration/autorisation loi sur l’eau préexistant (Fig.1). Des sédiments dont les concentrations en contaminants sont comprises entre N2 et </w:t>
      </w:r>
      <w:r w:rsidR="00D77DA3">
        <w:rPr>
          <w:rFonts w:ascii="Marianne" w:eastAsia="Calibri" w:hAnsi="Marianne" w:cs="Calibri"/>
          <w:sz w:val="20"/>
          <w:szCs w:val="20"/>
        </w:rPr>
        <w:t>le seuil d’interdiction</w:t>
      </w:r>
      <w:r w:rsidRPr="00A46073">
        <w:rPr>
          <w:rFonts w:ascii="Marianne" w:eastAsia="Calibri" w:hAnsi="Marianne" w:cs="Calibri"/>
          <w:sz w:val="20"/>
          <w:szCs w:val="20"/>
        </w:rPr>
        <w:t xml:space="preserve"> pourraient </w:t>
      </w:r>
      <w:proofErr w:type="gramStart"/>
      <w:r w:rsidRPr="00A46073">
        <w:rPr>
          <w:rFonts w:ascii="Marianne" w:eastAsia="Calibri" w:hAnsi="Marianne" w:cs="Calibri"/>
          <w:sz w:val="20"/>
          <w:szCs w:val="20"/>
        </w:rPr>
        <w:t>toujours</w:t>
      </w:r>
      <w:proofErr w:type="gramEnd"/>
      <w:r w:rsidRPr="00A46073">
        <w:rPr>
          <w:rFonts w:ascii="Marianne" w:eastAsia="Calibri" w:hAnsi="Marianne" w:cs="Calibri"/>
          <w:sz w:val="20"/>
          <w:szCs w:val="20"/>
        </w:rPr>
        <w:t xml:space="preserve"> être interdits d’immersion après instruction par les services police de l’eau, les seuils </w:t>
      </w:r>
      <w:r w:rsidR="00D77DA3">
        <w:rPr>
          <w:rFonts w:ascii="Marianne" w:eastAsia="Calibri" w:hAnsi="Marianne" w:cs="Calibri"/>
          <w:sz w:val="20"/>
          <w:szCs w:val="20"/>
        </w:rPr>
        <w:t xml:space="preserve">d’interdiction </w:t>
      </w:r>
      <w:r w:rsidRPr="00A46073">
        <w:rPr>
          <w:rFonts w:ascii="Marianne" w:eastAsia="Calibri" w:hAnsi="Marianne" w:cs="Calibri"/>
          <w:sz w:val="20"/>
          <w:szCs w:val="20"/>
        </w:rPr>
        <w:t>constituant un «</w:t>
      </w:r>
      <w:r w:rsidRPr="00A46073">
        <w:rPr>
          <w:rFonts w:ascii="Calibri" w:eastAsia="Calibri" w:hAnsi="Calibri" w:cs="Calibri"/>
          <w:sz w:val="20"/>
          <w:szCs w:val="20"/>
        </w:rPr>
        <w:t> </w:t>
      </w:r>
      <w:r w:rsidRPr="00A46073">
        <w:rPr>
          <w:rFonts w:ascii="Marianne" w:eastAsia="Calibri" w:hAnsi="Marianne" w:cs="Calibri"/>
          <w:sz w:val="20"/>
          <w:szCs w:val="20"/>
        </w:rPr>
        <w:t>garde-fou</w:t>
      </w:r>
      <w:r w:rsidRPr="00A46073">
        <w:rPr>
          <w:rFonts w:ascii="Calibri" w:eastAsia="Calibri" w:hAnsi="Calibri" w:cs="Calibri"/>
          <w:sz w:val="20"/>
          <w:szCs w:val="20"/>
        </w:rPr>
        <w:t> </w:t>
      </w:r>
      <w:r w:rsidRPr="00A46073">
        <w:rPr>
          <w:rFonts w:ascii="Marianne" w:eastAsia="Calibri" w:hAnsi="Marianne" w:cs="Marianne"/>
          <w:sz w:val="20"/>
          <w:szCs w:val="20"/>
        </w:rPr>
        <w:t>»</w:t>
      </w:r>
      <w:r w:rsidRPr="00A46073">
        <w:rPr>
          <w:rFonts w:ascii="Marianne" w:eastAsia="Calibri" w:hAnsi="Marianne" w:cs="Calibri"/>
          <w:sz w:val="20"/>
          <w:szCs w:val="20"/>
        </w:rPr>
        <w:t xml:space="preserve"> supplémentaire. </w:t>
      </w:r>
    </w:p>
    <w:p w14:paraId="47945FAC" w14:textId="77777777" w:rsidR="00A46073" w:rsidRPr="00A46073" w:rsidRDefault="00A46073" w:rsidP="00A46073">
      <w:pPr>
        <w:ind w:firstLine="360"/>
        <w:jc w:val="both"/>
        <w:rPr>
          <w:rFonts w:ascii="Marianne" w:eastAsia="Calibri" w:hAnsi="Marianne" w:cs="Calibri"/>
          <w:sz w:val="20"/>
          <w:szCs w:val="20"/>
        </w:rPr>
      </w:pPr>
    </w:p>
    <w:p w14:paraId="2227170A" w14:textId="7F5C3767" w:rsidR="00A46073" w:rsidRPr="00A46073" w:rsidRDefault="00A46073" w:rsidP="00A46073">
      <w:pPr>
        <w:spacing w:after="200" w:line="240" w:lineRule="auto"/>
        <w:jc w:val="center"/>
        <w:rPr>
          <w:rFonts w:ascii="Marianne" w:eastAsia="Calibri" w:hAnsi="Marianne" w:cs="Arial"/>
          <w:i/>
          <w:iCs/>
          <w:color w:val="44546A"/>
          <w:sz w:val="18"/>
          <w:szCs w:val="18"/>
        </w:rPr>
      </w:pPr>
      <w:r w:rsidRPr="00A46073">
        <w:rPr>
          <w:rFonts w:ascii="Arial" w:eastAsia="Calibri" w:hAnsi="Arial" w:cs="Arial"/>
          <w:i/>
          <w:iCs/>
          <w:color w:val="44546A"/>
          <w:sz w:val="18"/>
          <w:szCs w:val="18"/>
        </w:rPr>
        <w:t xml:space="preserve">Figure </w:t>
      </w:r>
      <w:r w:rsidRPr="00A46073">
        <w:rPr>
          <w:rFonts w:ascii="Arial" w:eastAsia="Calibri" w:hAnsi="Arial" w:cs="Arial"/>
          <w:i/>
          <w:iCs/>
          <w:color w:val="44546A"/>
          <w:sz w:val="18"/>
          <w:szCs w:val="18"/>
        </w:rPr>
        <w:fldChar w:fldCharType="begin"/>
      </w:r>
      <w:r w:rsidRPr="00A46073">
        <w:rPr>
          <w:rFonts w:ascii="Arial" w:eastAsia="Calibri" w:hAnsi="Arial" w:cs="Arial"/>
          <w:i/>
          <w:iCs/>
          <w:color w:val="44546A"/>
          <w:sz w:val="18"/>
          <w:szCs w:val="18"/>
        </w:rPr>
        <w:instrText xml:space="preserve"> SEQ Figure \* ARABIC </w:instrText>
      </w:r>
      <w:r w:rsidRPr="00A46073">
        <w:rPr>
          <w:rFonts w:ascii="Arial" w:eastAsia="Calibri" w:hAnsi="Arial" w:cs="Arial"/>
          <w:i/>
          <w:iCs/>
          <w:color w:val="44546A"/>
          <w:sz w:val="18"/>
          <w:szCs w:val="18"/>
        </w:rPr>
        <w:fldChar w:fldCharType="separate"/>
      </w:r>
      <w:r w:rsidR="00C2745D">
        <w:rPr>
          <w:rFonts w:ascii="Arial" w:eastAsia="Calibri" w:hAnsi="Arial" w:cs="Arial"/>
          <w:i/>
          <w:iCs/>
          <w:noProof/>
          <w:color w:val="44546A"/>
          <w:sz w:val="18"/>
          <w:szCs w:val="18"/>
        </w:rPr>
        <w:t>1</w:t>
      </w:r>
      <w:r w:rsidRPr="00A46073">
        <w:rPr>
          <w:rFonts w:ascii="Arial" w:eastAsia="Calibri" w:hAnsi="Arial" w:cs="Arial"/>
          <w:i/>
          <w:iCs/>
          <w:noProof/>
          <w:color w:val="44546A"/>
          <w:sz w:val="18"/>
          <w:szCs w:val="18"/>
        </w:rPr>
        <w:fldChar w:fldCharType="end"/>
      </w:r>
      <w:r w:rsidRPr="00A46073">
        <w:rPr>
          <w:rFonts w:ascii="Arial" w:eastAsia="Calibri" w:hAnsi="Arial" w:cs="Arial"/>
          <w:i/>
          <w:iCs/>
          <w:color w:val="44546A"/>
          <w:sz w:val="18"/>
          <w:szCs w:val="18"/>
        </w:rPr>
        <w:t> : Cadre règlementaire pour l’immersion de sédiment de dragage en cas de sélection du scénario Alt1</w:t>
      </w:r>
    </w:p>
    <w:p w14:paraId="50AB8E08" w14:textId="77777777" w:rsidR="00A46073" w:rsidRPr="00A46073" w:rsidRDefault="00A46073" w:rsidP="00A46073">
      <w:pPr>
        <w:numPr>
          <w:ilvl w:val="0"/>
          <w:numId w:val="1"/>
        </w:numPr>
        <w:contextualSpacing/>
        <w:jc w:val="both"/>
        <w:rPr>
          <w:rFonts w:ascii="Marianne" w:eastAsia="Calibri" w:hAnsi="Marianne" w:cs="Arial"/>
          <w:b/>
          <w:sz w:val="20"/>
          <w:szCs w:val="20"/>
        </w:rPr>
      </w:pPr>
      <w:r w:rsidRPr="00A46073">
        <w:rPr>
          <w:rFonts w:ascii="Marianne" w:eastAsia="Calibri" w:hAnsi="Marianne" w:cs="Arial"/>
          <w:b/>
          <w:sz w:val="20"/>
          <w:szCs w:val="20"/>
        </w:rPr>
        <w:t>Cas particulier d’un enrichissement naturel en certains métaux</w:t>
      </w:r>
    </w:p>
    <w:p w14:paraId="6074B9F9"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 xml:space="preserve">Certains fonds marins sont naturellement enrichis en certains métaux (fond </w:t>
      </w:r>
      <w:proofErr w:type="spellStart"/>
      <w:r w:rsidRPr="00A46073">
        <w:rPr>
          <w:rFonts w:ascii="Marianne" w:eastAsia="Calibri" w:hAnsi="Marianne" w:cs="Arial"/>
          <w:sz w:val="20"/>
          <w:szCs w:val="20"/>
        </w:rPr>
        <w:t>pédo</w:t>
      </w:r>
      <w:proofErr w:type="spellEnd"/>
      <w:r w:rsidRPr="00A46073">
        <w:rPr>
          <w:rFonts w:ascii="Marianne" w:eastAsia="Calibri" w:hAnsi="Marianne" w:cs="Arial"/>
          <w:sz w:val="20"/>
          <w:szCs w:val="20"/>
        </w:rPr>
        <w:t xml:space="preserve">-géochimique). C’est le cas par exemple à La Réunion, où des concentrations particulièrement élevées en chrome et </w:t>
      </w:r>
      <w:r w:rsidRPr="00A46073">
        <w:rPr>
          <w:rFonts w:ascii="Marianne" w:eastAsia="Calibri" w:hAnsi="Marianne" w:cs="Arial"/>
          <w:sz w:val="20"/>
          <w:szCs w:val="20"/>
        </w:rPr>
        <w:lastRenderedPageBreak/>
        <w:t>en nickel ont été relevées. Une étude du CEREMA</w:t>
      </w:r>
      <w:r w:rsidRPr="00A46073">
        <w:rPr>
          <w:rFonts w:ascii="Marianne" w:eastAsia="Calibri" w:hAnsi="Marianne" w:cs="Arial"/>
          <w:sz w:val="20"/>
          <w:szCs w:val="20"/>
          <w:vertAlign w:val="superscript"/>
        </w:rPr>
        <w:footnoteReference w:id="3"/>
      </w:r>
      <w:r w:rsidRPr="00A46073">
        <w:rPr>
          <w:rFonts w:ascii="Marianne" w:eastAsia="Calibri" w:hAnsi="Marianne" w:cs="Arial"/>
          <w:sz w:val="20"/>
          <w:szCs w:val="20"/>
        </w:rPr>
        <w:t xml:space="preserve"> caractérisant le fond </w:t>
      </w:r>
      <w:proofErr w:type="spellStart"/>
      <w:r w:rsidRPr="00A46073">
        <w:rPr>
          <w:rFonts w:ascii="Marianne" w:eastAsia="Calibri" w:hAnsi="Marianne" w:cs="Arial"/>
          <w:sz w:val="20"/>
          <w:szCs w:val="20"/>
        </w:rPr>
        <w:t>pédo</w:t>
      </w:r>
      <w:proofErr w:type="spellEnd"/>
      <w:r w:rsidRPr="00A46073">
        <w:rPr>
          <w:rFonts w:ascii="Marianne" w:eastAsia="Calibri" w:hAnsi="Marianne" w:cs="Arial"/>
          <w:sz w:val="20"/>
          <w:szCs w:val="20"/>
        </w:rPr>
        <w:t>-géochimique local a permis de conclure à l’origine naturelle de ces concentrations, liées aux origines volcaniques de l’île. Les données disponibles étant insuffisantes pour permettre de définir des seuils régionalisés pour le chrome et le nickel à La Réunion, il est proposé de ne pas appliquer de seuils pour ces deux métaux à La Réunion. Les seuils de gestion N1 et N2 continueraient de s’appliquer et les autres contaminants seraient également soumis aux seuils Alt1.</w:t>
      </w:r>
    </w:p>
    <w:p w14:paraId="790F62F7" w14:textId="77777777" w:rsidR="00A46073" w:rsidRP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 xml:space="preserve">Des mesures similaires pourraient être prises dans des zones géographiques présentant les mêmes caractéristiques (par exemple dans les autres îles d’outre-mer), sous réserve que des études soient réalisées pour démontrer le caractère naturel du fond </w:t>
      </w:r>
      <w:proofErr w:type="spellStart"/>
      <w:r w:rsidRPr="00A46073">
        <w:rPr>
          <w:rFonts w:ascii="Marianne" w:eastAsia="Calibri" w:hAnsi="Marianne" w:cs="Arial"/>
          <w:sz w:val="20"/>
          <w:szCs w:val="20"/>
        </w:rPr>
        <w:t>pédo</w:t>
      </w:r>
      <w:proofErr w:type="spellEnd"/>
      <w:r w:rsidRPr="00A46073">
        <w:rPr>
          <w:rFonts w:ascii="Marianne" w:eastAsia="Calibri" w:hAnsi="Marianne" w:cs="Arial"/>
          <w:sz w:val="20"/>
          <w:szCs w:val="20"/>
        </w:rPr>
        <w:t xml:space="preserve">-géochimique local.   </w:t>
      </w:r>
    </w:p>
    <w:p w14:paraId="5E5491F1" w14:textId="77777777" w:rsidR="00A46073" w:rsidRPr="00A46073" w:rsidRDefault="00870E18" w:rsidP="00A46073">
      <w:pPr>
        <w:numPr>
          <w:ilvl w:val="0"/>
          <w:numId w:val="1"/>
        </w:numPr>
        <w:contextualSpacing/>
        <w:jc w:val="both"/>
        <w:rPr>
          <w:rFonts w:ascii="Marianne" w:eastAsia="Calibri" w:hAnsi="Marianne" w:cs="Arial"/>
          <w:b/>
          <w:sz w:val="20"/>
          <w:szCs w:val="20"/>
        </w:rPr>
      </w:pPr>
      <w:r>
        <w:rPr>
          <w:rFonts w:ascii="Marianne" w:eastAsia="Calibri" w:hAnsi="Marianne" w:cs="Arial"/>
          <w:b/>
          <w:sz w:val="20"/>
          <w:szCs w:val="20"/>
        </w:rPr>
        <w:t>Adoption</w:t>
      </w:r>
      <w:r w:rsidR="00A46073" w:rsidRPr="00A46073">
        <w:rPr>
          <w:rFonts w:ascii="Marianne" w:eastAsia="Calibri" w:hAnsi="Marianne" w:cs="Arial"/>
          <w:b/>
          <w:sz w:val="20"/>
          <w:szCs w:val="20"/>
        </w:rPr>
        <w:t xml:space="preserve"> de l’arrêté</w:t>
      </w:r>
    </w:p>
    <w:p w14:paraId="6D6FC043" w14:textId="0FC67257" w:rsidR="00A46073" w:rsidRDefault="00A46073" w:rsidP="00A46073">
      <w:pPr>
        <w:ind w:firstLine="360"/>
        <w:jc w:val="both"/>
        <w:rPr>
          <w:rFonts w:ascii="Marianne" w:eastAsia="Calibri" w:hAnsi="Marianne" w:cs="Arial"/>
          <w:sz w:val="20"/>
          <w:szCs w:val="20"/>
        </w:rPr>
      </w:pPr>
      <w:r w:rsidRPr="00A46073">
        <w:rPr>
          <w:rFonts w:ascii="Marianne" w:eastAsia="Calibri" w:hAnsi="Marianne" w:cs="Arial"/>
          <w:sz w:val="20"/>
          <w:szCs w:val="20"/>
        </w:rPr>
        <w:t>La définition des seuils d’interdiction d’immersion des sédiments de dragage doit se faire par</w:t>
      </w:r>
      <w:r w:rsidR="005E17C1">
        <w:rPr>
          <w:rFonts w:ascii="Marianne" w:eastAsia="Calibri" w:hAnsi="Marianne" w:cs="Arial"/>
          <w:sz w:val="20"/>
          <w:szCs w:val="20"/>
        </w:rPr>
        <w:t xml:space="preserve"> le biais de l’arrêté</w:t>
      </w:r>
      <w:r w:rsidRPr="00A46073">
        <w:rPr>
          <w:rFonts w:ascii="Marianne" w:eastAsia="Calibri" w:hAnsi="Marianne" w:cs="Arial"/>
          <w:sz w:val="20"/>
          <w:szCs w:val="20"/>
        </w:rPr>
        <w:t xml:space="preserve"> fixant les prescriptions générales applicables aux travaux de dragage et rejet y afférent</w:t>
      </w:r>
      <w:r>
        <w:rPr>
          <w:rFonts w:ascii="Marianne" w:eastAsia="Calibri" w:hAnsi="Marianne" w:cs="Arial"/>
          <w:sz w:val="20"/>
          <w:szCs w:val="20"/>
        </w:rPr>
        <w:t xml:space="preserve">. </w:t>
      </w:r>
      <w:r w:rsidR="00E14117" w:rsidRPr="00E14117">
        <w:t xml:space="preserve"> </w:t>
      </w:r>
      <w:r w:rsidR="00E14117">
        <w:rPr>
          <w:rFonts w:ascii="Marianne" w:eastAsia="Calibri" w:hAnsi="Marianne" w:cs="Arial"/>
          <w:sz w:val="20"/>
          <w:szCs w:val="20"/>
        </w:rPr>
        <w:t xml:space="preserve">Certaines dispositions de l’arrêté de </w:t>
      </w:r>
      <w:r w:rsidR="005E17C1">
        <w:rPr>
          <w:rFonts w:ascii="Marianne" w:eastAsia="Calibri" w:hAnsi="Marianne" w:cs="Arial"/>
          <w:sz w:val="20"/>
          <w:szCs w:val="20"/>
        </w:rPr>
        <w:t xml:space="preserve">du 23 février </w:t>
      </w:r>
      <w:r w:rsidR="00E14117">
        <w:rPr>
          <w:rFonts w:ascii="Marianne" w:eastAsia="Calibri" w:hAnsi="Marianne" w:cs="Arial"/>
          <w:sz w:val="20"/>
          <w:szCs w:val="20"/>
        </w:rPr>
        <w:t>2001</w:t>
      </w:r>
      <w:r w:rsidR="005E17C1">
        <w:rPr>
          <w:rFonts w:ascii="Marianne" w:eastAsia="Calibri" w:hAnsi="Marianne" w:cs="Arial"/>
          <w:sz w:val="20"/>
          <w:szCs w:val="20"/>
        </w:rPr>
        <w:t xml:space="preserve"> ont fait l’objet d’un toilettage et d’une actualisation</w:t>
      </w:r>
      <w:r w:rsidR="005E17C1" w:rsidRPr="005E17C1">
        <w:rPr>
          <w:rFonts w:ascii="Marianne" w:eastAsia="Calibri" w:hAnsi="Marianne" w:cs="Arial"/>
          <w:sz w:val="20"/>
          <w:szCs w:val="20"/>
        </w:rPr>
        <w:t xml:space="preserve"> </w:t>
      </w:r>
      <w:r w:rsidR="005E17C1" w:rsidRPr="00E14117">
        <w:rPr>
          <w:rFonts w:ascii="Marianne" w:eastAsia="Calibri" w:hAnsi="Marianne" w:cs="Arial"/>
          <w:sz w:val="20"/>
          <w:szCs w:val="20"/>
        </w:rPr>
        <w:t>(cf. tableau en annexe</w:t>
      </w:r>
      <w:r w:rsidR="005E17C1">
        <w:rPr>
          <w:rFonts w:ascii="Marianne" w:eastAsia="Calibri" w:hAnsi="Marianne" w:cs="Arial"/>
          <w:sz w:val="20"/>
          <w:szCs w:val="20"/>
        </w:rPr>
        <w:t xml:space="preserve"> de la présente note</w:t>
      </w:r>
      <w:r w:rsidR="005E17C1" w:rsidRPr="00E14117">
        <w:rPr>
          <w:rFonts w:ascii="Marianne" w:eastAsia="Calibri" w:hAnsi="Marianne" w:cs="Arial"/>
          <w:sz w:val="20"/>
          <w:szCs w:val="20"/>
        </w:rPr>
        <w:t>)</w:t>
      </w:r>
      <w:r w:rsidR="005E17C1">
        <w:rPr>
          <w:rFonts w:ascii="Marianne" w:eastAsia="Calibri" w:hAnsi="Marianne" w:cs="Arial"/>
          <w:sz w:val="20"/>
          <w:szCs w:val="20"/>
        </w:rPr>
        <w:t xml:space="preserve"> Il a donc été prévu d’abroger l’arrêté de 2001 pour le remplacer par un</w:t>
      </w:r>
      <w:r w:rsidR="00E14117">
        <w:rPr>
          <w:rFonts w:ascii="Marianne" w:eastAsia="Calibri" w:hAnsi="Marianne" w:cs="Arial"/>
          <w:sz w:val="20"/>
          <w:szCs w:val="20"/>
        </w:rPr>
        <w:t xml:space="preserve"> nouveau projet </w:t>
      </w:r>
      <w:r w:rsidR="005E17C1">
        <w:rPr>
          <w:rFonts w:ascii="Marianne" w:eastAsia="Calibri" w:hAnsi="Marianne" w:cs="Arial"/>
          <w:sz w:val="20"/>
          <w:szCs w:val="20"/>
        </w:rPr>
        <w:t>d’arrêté,</w:t>
      </w:r>
      <w:r w:rsidR="00E14117" w:rsidRPr="00E14117">
        <w:rPr>
          <w:rFonts w:ascii="Marianne" w:eastAsia="Calibri" w:hAnsi="Marianne" w:cs="Arial"/>
          <w:sz w:val="20"/>
          <w:szCs w:val="20"/>
        </w:rPr>
        <w:t xml:space="preserve">  </w:t>
      </w:r>
    </w:p>
    <w:p w14:paraId="139D4CF6" w14:textId="1EB62C21" w:rsidR="00E14117" w:rsidRPr="001679C7" w:rsidRDefault="00E14117" w:rsidP="00E14117">
      <w:pPr>
        <w:jc w:val="both"/>
        <w:rPr>
          <w:rFonts w:ascii="Marianne" w:eastAsia="Calibri" w:hAnsi="Marianne" w:cs="Arial"/>
          <w:sz w:val="20"/>
          <w:szCs w:val="20"/>
        </w:rPr>
      </w:pPr>
      <w:r w:rsidRPr="001679C7">
        <w:rPr>
          <w:rFonts w:ascii="Marianne" w:eastAsia="Calibri" w:hAnsi="Marianne" w:cs="Arial"/>
          <w:sz w:val="20"/>
          <w:szCs w:val="20"/>
        </w:rPr>
        <w:t>Le projet d</w:t>
      </w:r>
      <w:r>
        <w:rPr>
          <w:rFonts w:ascii="Marianne" w:eastAsia="Calibri" w:hAnsi="Marianne" w:cs="Arial"/>
          <w:sz w:val="20"/>
          <w:szCs w:val="20"/>
        </w:rPr>
        <w:t>’</w:t>
      </w:r>
      <w:r w:rsidRPr="001679C7">
        <w:rPr>
          <w:rFonts w:ascii="Marianne" w:eastAsia="Calibri" w:hAnsi="Marianne" w:cs="Arial"/>
          <w:sz w:val="20"/>
          <w:szCs w:val="20"/>
        </w:rPr>
        <w:t>arrêté</w:t>
      </w:r>
      <w:r>
        <w:rPr>
          <w:rFonts w:ascii="Marianne" w:eastAsia="Calibri" w:hAnsi="Marianne" w:cs="Arial"/>
          <w:sz w:val="20"/>
          <w:szCs w:val="20"/>
        </w:rPr>
        <w:t xml:space="preserve"> soumis pour examen au CNE</w:t>
      </w:r>
      <w:r w:rsidRPr="001679C7">
        <w:rPr>
          <w:rFonts w:ascii="Marianne" w:eastAsia="Calibri" w:hAnsi="Marianne" w:cs="Arial"/>
          <w:sz w:val="20"/>
          <w:szCs w:val="20"/>
        </w:rPr>
        <w:t xml:space="preserve"> </w:t>
      </w:r>
      <w:r>
        <w:rPr>
          <w:rFonts w:ascii="Marianne" w:eastAsia="Calibri" w:hAnsi="Marianne" w:cs="Arial"/>
          <w:sz w:val="20"/>
          <w:szCs w:val="20"/>
        </w:rPr>
        <w:t>a fait l’objet d’un avis favorable</w:t>
      </w:r>
      <w:r w:rsidRPr="001679C7">
        <w:rPr>
          <w:rFonts w:ascii="Marianne" w:eastAsia="Calibri" w:hAnsi="Marianne" w:cs="Arial"/>
          <w:sz w:val="20"/>
          <w:szCs w:val="20"/>
        </w:rPr>
        <w:t xml:space="preserve"> de la Mission interministérielle de l’eau lors de la séance du 1</w:t>
      </w:r>
      <w:r w:rsidRPr="001679C7">
        <w:rPr>
          <w:rFonts w:ascii="Marianne" w:eastAsia="Calibri" w:hAnsi="Marianne" w:cs="Arial"/>
          <w:sz w:val="20"/>
          <w:szCs w:val="20"/>
          <w:vertAlign w:val="superscript"/>
        </w:rPr>
        <w:t>er</w:t>
      </w:r>
      <w:r w:rsidRPr="001679C7">
        <w:rPr>
          <w:rFonts w:ascii="Marianne" w:eastAsia="Calibri" w:hAnsi="Marianne" w:cs="Arial"/>
          <w:sz w:val="20"/>
          <w:szCs w:val="20"/>
        </w:rPr>
        <w:t xml:space="preserve"> juin 2023.</w:t>
      </w:r>
    </w:p>
    <w:p w14:paraId="07C852DF" w14:textId="07B8A9EE" w:rsidR="00412BC9" w:rsidRDefault="00A46073" w:rsidP="00A46073">
      <w:pPr>
        <w:ind w:firstLine="360"/>
        <w:jc w:val="both"/>
        <w:rPr>
          <w:rFonts w:ascii="Marianne" w:eastAsia="Calibri" w:hAnsi="Marianne" w:cs="Arial"/>
          <w:sz w:val="20"/>
          <w:szCs w:val="20"/>
        </w:rPr>
      </w:pPr>
      <w:r>
        <w:rPr>
          <w:rFonts w:ascii="Marianne" w:eastAsia="Calibri" w:hAnsi="Marianne" w:cs="Arial"/>
          <w:sz w:val="20"/>
          <w:szCs w:val="20"/>
        </w:rPr>
        <w:t>Il entre en vigueur au lendema</w:t>
      </w:r>
      <w:r w:rsidR="00412BC9">
        <w:rPr>
          <w:rFonts w:ascii="Marianne" w:eastAsia="Calibri" w:hAnsi="Marianne" w:cs="Arial"/>
          <w:sz w:val="20"/>
          <w:szCs w:val="20"/>
        </w:rPr>
        <w:t xml:space="preserve">in de sa publication </w:t>
      </w:r>
      <w:r w:rsidR="00412BC9" w:rsidRPr="00412BC9">
        <w:rPr>
          <w:rFonts w:ascii="Marianne" w:eastAsia="Calibri" w:hAnsi="Marianne" w:cs="Arial"/>
          <w:sz w:val="20"/>
          <w:szCs w:val="20"/>
        </w:rPr>
        <w:t>à l’exception de son article 11 qui entre en vigueur à compter du 1</w:t>
      </w:r>
      <w:r w:rsidR="00412BC9" w:rsidRPr="00412BC9">
        <w:rPr>
          <w:rFonts w:ascii="Marianne" w:eastAsia="Calibri" w:hAnsi="Marianne" w:cs="Arial"/>
          <w:sz w:val="20"/>
          <w:szCs w:val="20"/>
          <w:vertAlign w:val="superscript"/>
        </w:rPr>
        <w:t>er</w:t>
      </w:r>
      <w:r w:rsidR="00412BC9" w:rsidRPr="00412BC9">
        <w:rPr>
          <w:rFonts w:ascii="Marianne" w:eastAsia="Calibri" w:hAnsi="Marianne" w:cs="Arial"/>
          <w:sz w:val="20"/>
          <w:szCs w:val="20"/>
        </w:rPr>
        <w:t xml:space="preserve"> janvier 2025</w:t>
      </w:r>
      <w:r w:rsidR="00412BC9">
        <w:rPr>
          <w:rFonts w:ascii="Marianne" w:eastAsia="Calibri" w:hAnsi="Marianne" w:cs="Arial"/>
          <w:sz w:val="20"/>
          <w:szCs w:val="20"/>
        </w:rPr>
        <w:t xml:space="preserve">. </w:t>
      </w:r>
      <w:r w:rsidR="005E17C1">
        <w:rPr>
          <w:rFonts w:ascii="Marianne" w:eastAsia="Calibri" w:hAnsi="Marianne" w:cs="Arial"/>
          <w:sz w:val="20"/>
          <w:szCs w:val="20"/>
        </w:rPr>
        <w:t>Comme le prévoit l’article 85 de la loi n°2016-816 pour l’économie bleue</w:t>
      </w:r>
      <w:r w:rsidR="005E17C1">
        <w:rPr>
          <w:rStyle w:val="Appelnotedebasdep"/>
          <w:rFonts w:ascii="Marianne" w:eastAsia="Calibri" w:hAnsi="Marianne" w:cs="Arial"/>
          <w:sz w:val="20"/>
          <w:szCs w:val="20"/>
        </w:rPr>
        <w:footnoteReference w:id="4"/>
      </w:r>
      <w:r w:rsidR="005E17C1">
        <w:rPr>
          <w:rFonts w:ascii="Marianne" w:eastAsia="Calibri" w:hAnsi="Marianne" w:cs="Arial"/>
          <w:sz w:val="20"/>
          <w:szCs w:val="20"/>
        </w:rPr>
        <w:t xml:space="preserve">. </w:t>
      </w:r>
    </w:p>
    <w:p w14:paraId="2B1FDCCD" w14:textId="3B510132" w:rsidR="000A37ED" w:rsidRDefault="00412BC9" w:rsidP="00412BC9">
      <w:pPr>
        <w:ind w:firstLine="360"/>
        <w:jc w:val="both"/>
      </w:pPr>
      <w:r>
        <w:rPr>
          <w:rFonts w:ascii="Marianne" w:eastAsia="Calibri" w:hAnsi="Marianne" w:cs="Arial"/>
          <w:sz w:val="20"/>
          <w:szCs w:val="20"/>
        </w:rPr>
        <w:t>Une publication</w:t>
      </w:r>
      <w:r w:rsidR="00A46073" w:rsidRPr="00A46073">
        <w:rPr>
          <w:rFonts w:ascii="Marianne" w:eastAsia="Calibri" w:hAnsi="Marianne" w:cs="Arial"/>
          <w:sz w:val="20"/>
          <w:szCs w:val="20"/>
        </w:rPr>
        <w:t xml:space="preserve"> de l’arrêté au plus tôt (2ème semestre 2023)</w:t>
      </w:r>
      <w:r>
        <w:rPr>
          <w:rFonts w:ascii="Marianne" w:eastAsia="Calibri" w:hAnsi="Marianne" w:cs="Arial"/>
          <w:sz w:val="20"/>
          <w:szCs w:val="20"/>
        </w:rPr>
        <w:t xml:space="preserve">, laissera </w:t>
      </w:r>
      <w:r w:rsidR="00A46073" w:rsidRPr="00A46073">
        <w:rPr>
          <w:rFonts w:ascii="Marianne" w:eastAsia="Calibri" w:hAnsi="Marianne" w:cs="Arial"/>
          <w:sz w:val="20"/>
          <w:szCs w:val="20"/>
        </w:rPr>
        <w:t>le temps aux filières de s’organiser avant la mise en application des seuils au 1</w:t>
      </w:r>
      <w:r w:rsidR="00A46073" w:rsidRPr="00A46073">
        <w:rPr>
          <w:rFonts w:ascii="Marianne" w:eastAsia="Calibri" w:hAnsi="Marianne" w:cs="Arial"/>
          <w:sz w:val="20"/>
          <w:szCs w:val="20"/>
          <w:vertAlign w:val="superscript"/>
        </w:rPr>
        <w:t>er</w:t>
      </w:r>
      <w:r w:rsidR="00A46073" w:rsidRPr="00A46073">
        <w:rPr>
          <w:rFonts w:ascii="Marianne" w:eastAsia="Calibri" w:hAnsi="Marianne" w:cs="Arial"/>
          <w:sz w:val="20"/>
          <w:szCs w:val="20"/>
        </w:rPr>
        <w:t xml:space="preserve"> janvier 2025</w:t>
      </w:r>
      <w:r w:rsidR="005E17C1">
        <w:rPr>
          <w:rFonts w:ascii="Marianne" w:eastAsia="Calibri" w:hAnsi="Marianne" w:cs="Arial"/>
          <w:sz w:val="20"/>
          <w:szCs w:val="20"/>
        </w:rPr>
        <w:t xml:space="preserve">. </w:t>
      </w:r>
    </w:p>
    <w:sectPr w:rsidR="000A37ED" w:rsidSect="00412BC9">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E40D" w16cex:dateUtc="2023-10-03T17:03:00Z"/>
  <w16cex:commentExtensible w16cex:durableId="28C6E259" w16cex:dateUtc="2023-10-03T16:56:00Z"/>
  <w16cex:commentExtensible w16cex:durableId="28C6E23E" w16cex:dateUtc="2023-10-03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D10F4" w16cid:durableId="28C6E40D"/>
  <w16cid:commentId w16cid:paraId="7894EF70" w16cid:durableId="28C6E259"/>
  <w16cid:commentId w16cid:paraId="4958C2C0" w16cid:durableId="28C6E2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37AE9" w14:textId="77777777" w:rsidR="00843645" w:rsidRDefault="00843645" w:rsidP="00A46073">
      <w:pPr>
        <w:spacing w:after="0" w:line="240" w:lineRule="auto"/>
      </w:pPr>
      <w:r>
        <w:separator/>
      </w:r>
    </w:p>
  </w:endnote>
  <w:endnote w:type="continuationSeparator" w:id="0">
    <w:p w14:paraId="6B834081" w14:textId="77777777" w:rsidR="00843645" w:rsidRDefault="00843645" w:rsidP="00A4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0F93" w14:textId="77777777" w:rsidR="00843645" w:rsidRDefault="00843645" w:rsidP="00A46073">
      <w:pPr>
        <w:spacing w:after="0" w:line="240" w:lineRule="auto"/>
      </w:pPr>
      <w:r>
        <w:separator/>
      </w:r>
    </w:p>
  </w:footnote>
  <w:footnote w:type="continuationSeparator" w:id="0">
    <w:p w14:paraId="4CB22E29" w14:textId="77777777" w:rsidR="00843645" w:rsidRDefault="00843645" w:rsidP="00A46073">
      <w:pPr>
        <w:spacing w:after="0" w:line="240" w:lineRule="auto"/>
      </w:pPr>
      <w:r>
        <w:continuationSeparator/>
      </w:r>
    </w:p>
  </w:footnote>
  <w:footnote w:id="1">
    <w:p w14:paraId="3E985593" w14:textId="77777777" w:rsidR="00A46073" w:rsidRPr="00581A65" w:rsidRDefault="00A46073" w:rsidP="00A46073">
      <w:pPr>
        <w:pStyle w:val="Notedebasdepage1"/>
        <w:rPr>
          <w:lang w:val="en-GB"/>
        </w:rPr>
      </w:pPr>
      <w:r>
        <w:rPr>
          <w:rStyle w:val="Appelnotedebasdep"/>
        </w:rPr>
        <w:footnoteRef/>
      </w:r>
      <w:r w:rsidRPr="00581A65">
        <w:rPr>
          <w:lang w:val="en-GB"/>
        </w:rPr>
        <w:t xml:space="preserve"> https://www.legifrance.gouv.fr/loda/id/JORFTEXT000000423497/</w:t>
      </w:r>
    </w:p>
  </w:footnote>
  <w:footnote w:id="2">
    <w:p w14:paraId="7517C948" w14:textId="77777777" w:rsidR="00A46073" w:rsidRDefault="00A46073" w:rsidP="00A46073">
      <w:pPr>
        <w:pStyle w:val="Notedebasdepage1"/>
      </w:pPr>
      <w:r>
        <w:rPr>
          <w:rStyle w:val="Appelnotedebasdep"/>
        </w:rPr>
        <w:footnoteRef/>
      </w:r>
      <w:r>
        <w:t xml:space="preserve"> </w:t>
      </w:r>
      <w:proofErr w:type="spellStart"/>
      <w:r w:rsidRPr="00B10D87">
        <w:t>Alzieu</w:t>
      </w:r>
      <w:proofErr w:type="spellEnd"/>
      <w:r w:rsidRPr="00B10D87">
        <w:t xml:space="preserve"> C. et </w:t>
      </w:r>
      <w:proofErr w:type="spellStart"/>
      <w:r w:rsidRPr="00B10D87">
        <w:t>Quiniou</w:t>
      </w:r>
      <w:proofErr w:type="spellEnd"/>
      <w:r w:rsidRPr="00B10D87">
        <w:t xml:space="preserve"> F., 2004, </w:t>
      </w:r>
      <w:proofErr w:type="spellStart"/>
      <w:r w:rsidRPr="00B10D87">
        <w:t>Géodrisk</w:t>
      </w:r>
      <w:proofErr w:type="spellEnd"/>
      <w:r w:rsidRPr="00B10D87">
        <w:t xml:space="preserve"> - La démarche d’analyse des risques liés à l’immersion des boues de dragage des ports maritimes, 29 pages.</w:t>
      </w:r>
    </w:p>
  </w:footnote>
  <w:footnote w:id="3">
    <w:p w14:paraId="2C91CA0A" w14:textId="77777777" w:rsidR="00A46073" w:rsidRDefault="00A46073" w:rsidP="00A46073">
      <w:pPr>
        <w:pStyle w:val="Notedebasdepage1"/>
      </w:pPr>
      <w:r>
        <w:rPr>
          <w:rStyle w:val="Appelnotedebasdep"/>
        </w:rPr>
        <w:footnoteRef/>
      </w:r>
      <w:r>
        <w:t xml:space="preserve"> </w:t>
      </w:r>
      <w:r w:rsidRPr="003A7244">
        <w:t xml:space="preserve">Droit J., El </w:t>
      </w:r>
      <w:proofErr w:type="spellStart"/>
      <w:r w:rsidRPr="003A7244">
        <w:t>Fadili</w:t>
      </w:r>
      <w:proofErr w:type="spellEnd"/>
      <w:r w:rsidRPr="003A7244">
        <w:t xml:space="preserve"> M. et Messager M., 2019, Qualité des sédiments portuaires à La Réunion - Concentrations en éléments traces métalliques et fonds </w:t>
      </w:r>
      <w:proofErr w:type="spellStart"/>
      <w:r w:rsidRPr="003A7244">
        <w:t>pédo</w:t>
      </w:r>
      <w:proofErr w:type="spellEnd"/>
      <w:r w:rsidRPr="003A7244">
        <w:t>-géochimiques naturels, 89 pages.</w:t>
      </w:r>
    </w:p>
  </w:footnote>
  <w:footnote w:id="4">
    <w:p w14:paraId="6F47138E" w14:textId="19072351" w:rsidR="005E17C1" w:rsidRPr="005E17C1" w:rsidRDefault="005E17C1" w:rsidP="005E17C1">
      <w:pPr>
        <w:pStyle w:val="Notedebasdepage"/>
      </w:pPr>
      <w:r>
        <w:rPr>
          <w:rStyle w:val="Appelnotedebasdep"/>
        </w:rPr>
        <w:footnoteRef/>
      </w:r>
      <w:r>
        <w:t xml:space="preserve"> </w:t>
      </w:r>
      <w:r w:rsidRPr="005E17C1">
        <w:rPr>
          <w:b/>
          <w:bCs/>
        </w:rPr>
        <w:t>Article 85</w:t>
      </w:r>
      <w:r>
        <w:rPr>
          <w:b/>
          <w:bCs/>
        </w:rPr>
        <w:t> </w:t>
      </w:r>
      <w:r w:rsidRPr="00151EF7">
        <w:rPr>
          <w:b/>
          <w:bCs/>
          <w:i/>
        </w:rPr>
        <w:t xml:space="preserve">:  </w:t>
      </w:r>
      <w:r w:rsidRPr="00151EF7">
        <w:rPr>
          <w:i/>
        </w:rPr>
        <w:t>A partir du 1er janvier 2025, le rejet en mer des sédiments et résidus de dragage pollués est interdit. Une filière de traitement des sédiments et résidus et de récupération des macro-déchets associés est mise en place. Les seuils au-delà desquels les sédiments et résidus ne peuvent être immergés sont définis par voie réglementaire</w:t>
      </w:r>
      <w:r w:rsidRPr="005E17C1">
        <w:t>.</w:t>
      </w:r>
    </w:p>
    <w:p w14:paraId="525BBE24" w14:textId="4E41524F" w:rsidR="005E17C1" w:rsidRDefault="005E17C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C0"/>
    <w:multiLevelType w:val="hybridMultilevel"/>
    <w:tmpl w:val="D3562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E2952"/>
    <w:multiLevelType w:val="hybridMultilevel"/>
    <w:tmpl w:val="CBC035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4AE0E73"/>
    <w:multiLevelType w:val="hybridMultilevel"/>
    <w:tmpl w:val="ECDC47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FB4751D"/>
    <w:multiLevelType w:val="hybridMultilevel"/>
    <w:tmpl w:val="639CD286"/>
    <w:lvl w:ilvl="0" w:tplc="B6AC91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D40B82"/>
    <w:multiLevelType w:val="hybridMultilevel"/>
    <w:tmpl w:val="59547D2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BD062D"/>
    <w:multiLevelType w:val="hybridMultilevel"/>
    <w:tmpl w:val="2F761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5864E8"/>
    <w:multiLevelType w:val="hybridMultilevel"/>
    <w:tmpl w:val="CB60B898"/>
    <w:lvl w:ilvl="0" w:tplc="5EE2885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73"/>
    <w:rsid w:val="000E1546"/>
    <w:rsid w:val="0014469B"/>
    <w:rsid w:val="00151EF7"/>
    <w:rsid w:val="0019584D"/>
    <w:rsid w:val="001D1D18"/>
    <w:rsid w:val="00253E24"/>
    <w:rsid w:val="00412BC9"/>
    <w:rsid w:val="004C4201"/>
    <w:rsid w:val="005E17C1"/>
    <w:rsid w:val="007C49C3"/>
    <w:rsid w:val="00843645"/>
    <w:rsid w:val="00870E18"/>
    <w:rsid w:val="008E7CBC"/>
    <w:rsid w:val="00A30306"/>
    <w:rsid w:val="00A46073"/>
    <w:rsid w:val="00A620C7"/>
    <w:rsid w:val="00BD0DB9"/>
    <w:rsid w:val="00C2745D"/>
    <w:rsid w:val="00CD0230"/>
    <w:rsid w:val="00D14AB6"/>
    <w:rsid w:val="00D77DA3"/>
    <w:rsid w:val="00E14117"/>
    <w:rsid w:val="00E216BB"/>
    <w:rsid w:val="00F11D31"/>
    <w:rsid w:val="00F309E4"/>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EA26"/>
  <w15:chartTrackingRefBased/>
  <w15:docId w15:val="{D9B51C5B-8A1F-4048-B720-4D08600F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next w:val="Normal"/>
    <w:link w:val="Titre4Car"/>
    <w:uiPriority w:val="9"/>
    <w:semiHidden/>
    <w:unhideWhenUsed/>
    <w:qFormat/>
    <w:rsid w:val="005E17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semiHidden/>
    <w:unhideWhenUsed/>
    <w:rsid w:val="00A46073"/>
    <w:pPr>
      <w:spacing w:after="0" w:line="240" w:lineRule="auto"/>
    </w:pPr>
    <w:rPr>
      <w:rFonts w:ascii="Calibri" w:hAnsi="Calibri" w:cs="Arial"/>
    </w:rPr>
  </w:style>
  <w:style w:type="character" w:customStyle="1" w:styleId="NotedebasdepageCar">
    <w:name w:val="Note de bas de page Car"/>
    <w:basedOn w:val="Policepardfaut"/>
    <w:link w:val="Notedebasdepage1"/>
    <w:uiPriority w:val="99"/>
    <w:semiHidden/>
    <w:rsid w:val="00A46073"/>
    <w:rPr>
      <w:rFonts w:ascii="Calibri" w:hAnsi="Calibri" w:cs="Arial"/>
    </w:rPr>
  </w:style>
  <w:style w:type="character" w:styleId="Appelnotedebasdep">
    <w:name w:val="footnote reference"/>
    <w:basedOn w:val="Policepardfaut"/>
    <w:uiPriority w:val="99"/>
    <w:semiHidden/>
    <w:unhideWhenUsed/>
    <w:rsid w:val="00A46073"/>
    <w:rPr>
      <w:vertAlign w:val="superscript"/>
    </w:rPr>
  </w:style>
  <w:style w:type="paragraph" w:styleId="Notedebasdepage">
    <w:name w:val="footnote text"/>
    <w:basedOn w:val="Normal"/>
    <w:link w:val="NotedebasdepageCar1"/>
    <w:uiPriority w:val="99"/>
    <w:semiHidden/>
    <w:unhideWhenUsed/>
    <w:rsid w:val="00A4607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A46073"/>
    <w:rPr>
      <w:sz w:val="20"/>
      <w:szCs w:val="20"/>
    </w:rPr>
  </w:style>
  <w:style w:type="paragraph" w:styleId="Paragraphedeliste">
    <w:name w:val="List Paragraph"/>
    <w:basedOn w:val="Normal"/>
    <w:uiPriority w:val="34"/>
    <w:qFormat/>
    <w:rsid w:val="00412BC9"/>
    <w:pPr>
      <w:ind w:left="720"/>
      <w:contextualSpacing/>
    </w:pPr>
  </w:style>
  <w:style w:type="paragraph" w:styleId="Textedebulles">
    <w:name w:val="Balloon Text"/>
    <w:basedOn w:val="Normal"/>
    <w:link w:val="TextedebullesCar"/>
    <w:uiPriority w:val="99"/>
    <w:semiHidden/>
    <w:unhideWhenUsed/>
    <w:rsid w:val="00870E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E18"/>
    <w:rPr>
      <w:rFonts w:ascii="Segoe UI" w:hAnsi="Segoe UI" w:cs="Segoe UI"/>
      <w:sz w:val="18"/>
      <w:szCs w:val="18"/>
    </w:rPr>
  </w:style>
  <w:style w:type="paragraph" w:styleId="Rvision">
    <w:name w:val="Revision"/>
    <w:hidden/>
    <w:uiPriority w:val="99"/>
    <w:semiHidden/>
    <w:rsid w:val="001D1D18"/>
    <w:pPr>
      <w:spacing w:after="0" w:line="240" w:lineRule="auto"/>
    </w:pPr>
  </w:style>
  <w:style w:type="character" w:styleId="Marquedecommentaire">
    <w:name w:val="annotation reference"/>
    <w:basedOn w:val="Policepardfaut"/>
    <w:uiPriority w:val="99"/>
    <w:semiHidden/>
    <w:unhideWhenUsed/>
    <w:rsid w:val="001D1D18"/>
    <w:rPr>
      <w:sz w:val="16"/>
      <w:szCs w:val="16"/>
    </w:rPr>
  </w:style>
  <w:style w:type="paragraph" w:styleId="Commentaire">
    <w:name w:val="annotation text"/>
    <w:basedOn w:val="Normal"/>
    <w:link w:val="CommentaireCar"/>
    <w:uiPriority w:val="99"/>
    <w:semiHidden/>
    <w:unhideWhenUsed/>
    <w:rsid w:val="001D1D18"/>
    <w:pPr>
      <w:spacing w:line="240" w:lineRule="auto"/>
    </w:pPr>
    <w:rPr>
      <w:sz w:val="20"/>
      <w:szCs w:val="20"/>
    </w:rPr>
  </w:style>
  <w:style w:type="character" w:customStyle="1" w:styleId="CommentaireCar">
    <w:name w:val="Commentaire Car"/>
    <w:basedOn w:val="Policepardfaut"/>
    <w:link w:val="Commentaire"/>
    <w:uiPriority w:val="99"/>
    <w:semiHidden/>
    <w:rsid w:val="001D1D18"/>
    <w:rPr>
      <w:sz w:val="20"/>
      <w:szCs w:val="20"/>
    </w:rPr>
  </w:style>
  <w:style w:type="paragraph" w:styleId="Objetducommentaire">
    <w:name w:val="annotation subject"/>
    <w:basedOn w:val="Commentaire"/>
    <w:next w:val="Commentaire"/>
    <w:link w:val="ObjetducommentaireCar"/>
    <w:uiPriority w:val="99"/>
    <w:semiHidden/>
    <w:unhideWhenUsed/>
    <w:rsid w:val="001D1D18"/>
    <w:rPr>
      <w:b/>
      <w:bCs/>
    </w:rPr>
  </w:style>
  <w:style w:type="character" w:customStyle="1" w:styleId="ObjetducommentaireCar">
    <w:name w:val="Objet du commentaire Car"/>
    <w:basedOn w:val="CommentaireCar"/>
    <w:link w:val="Objetducommentaire"/>
    <w:uiPriority w:val="99"/>
    <w:semiHidden/>
    <w:rsid w:val="001D1D18"/>
    <w:rPr>
      <w:b/>
      <w:bCs/>
      <w:sz w:val="20"/>
      <w:szCs w:val="20"/>
    </w:rPr>
  </w:style>
  <w:style w:type="character" w:customStyle="1" w:styleId="Titre4Car">
    <w:name w:val="Titre 4 Car"/>
    <w:basedOn w:val="Policepardfaut"/>
    <w:link w:val="Titre4"/>
    <w:uiPriority w:val="9"/>
    <w:semiHidden/>
    <w:rsid w:val="005E17C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28536">
      <w:bodyDiv w:val="1"/>
      <w:marLeft w:val="0"/>
      <w:marRight w:val="0"/>
      <w:marTop w:val="0"/>
      <w:marBottom w:val="0"/>
      <w:divBdr>
        <w:top w:val="none" w:sz="0" w:space="0" w:color="auto"/>
        <w:left w:val="none" w:sz="0" w:space="0" w:color="auto"/>
        <w:bottom w:val="none" w:sz="0" w:space="0" w:color="auto"/>
        <w:right w:val="none" w:sz="0" w:space="0" w:color="auto"/>
      </w:divBdr>
      <w:divsChild>
        <w:div w:id="401369888">
          <w:marLeft w:val="0"/>
          <w:marRight w:val="0"/>
          <w:marTop w:val="0"/>
          <w:marBottom w:val="0"/>
          <w:divBdr>
            <w:top w:val="none" w:sz="0" w:space="0" w:color="auto"/>
            <w:left w:val="none" w:sz="0" w:space="0" w:color="auto"/>
            <w:bottom w:val="none" w:sz="0" w:space="0" w:color="auto"/>
            <w:right w:val="none" w:sz="0" w:space="0" w:color="auto"/>
          </w:divBdr>
        </w:div>
        <w:div w:id="133719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4C57-ECF4-4DAC-9A11-17A12209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1080</Words>
  <Characters>5941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JOUNIAUX Marion</cp:lastModifiedBy>
  <cp:revision>4</cp:revision>
  <dcterms:created xsi:type="dcterms:W3CDTF">2023-10-05T07:16:00Z</dcterms:created>
  <dcterms:modified xsi:type="dcterms:W3CDTF">2023-10-05T14:59:00Z</dcterms:modified>
</cp:coreProperties>
</file>