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46D05" w14:textId="62ED88D8" w:rsidR="000A5C49" w:rsidRPr="008E6BE7" w:rsidRDefault="00025129" w:rsidP="00025129">
      <w:pPr>
        <w:jc w:val="center"/>
        <w:rPr>
          <w:rFonts w:ascii="Marianne" w:hAnsi="Marianne"/>
          <w:b/>
          <w:bCs/>
          <w:sz w:val="18"/>
          <w:szCs w:val="20"/>
        </w:rPr>
      </w:pPr>
      <w:bookmarkStart w:id="0" w:name="_GoBack"/>
      <w:bookmarkEnd w:id="0"/>
      <w:r w:rsidRPr="008E6BE7">
        <w:rPr>
          <w:rFonts w:ascii="Marianne" w:hAnsi="Marianne"/>
          <w:b/>
          <w:bCs/>
          <w:sz w:val="18"/>
          <w:szCs w:val="20"/>
        </w:rPr>
        <w:t xml:space="preserve">Premier </w:t>
      </w:r>
      <w:r w:rsidR="000A5C49" w:rsidRPr="008E6BE7">
        <w:rPr>
          <w:rFonts w:ascii="Marianne" w:hAnsi="Marianne"/>
          <w:b/>
          <w:bCs/>
          <w:sz w:val="18"/>
          <w:szCs w:val="20"/>
        </w:rPr>
        <w:t xml:space="preserve">COPIL </w:t>
      </w:r>
      <w:r w:rsidR="004269C7">
        <w:rPr>
          <w:rFonts w:ascii="Marianne" w:hAnsi="Marianne"/>
          <w:b/>
          <w:bCs/>
          <w:sz w:val="18"/>
          <w:szCs w:val="20"/>
        </w:rPr>
        <w:t xml:space="preserve">de rédaction </w:t>
      </w:r>
      <w:r w:rsidR="000A5C49" w:rsidRPr="008E6BE7">
        <w:rPr>
          <w:rFonts w:ascii="Marianne" w:hAnsi="Marianne"/>
          <w:b/>
          <w:bCs/>
          <w:sz w:val="18"/>
          <w:szCs w:val="20"/>
        </w:rPr>
        <w:t>du guide national PTGE</w:t>
      </w:r>
    </w:p>
    <w:p w14:paraId="1269FFE6" w14:textId="151C809B" w:rsidR="00A07BB3" w:rsidRPr="008E6BE7" w:rsidRDefault="00A07BB3" w:rsidP="00A07BB3">
      <w:pPr>
        <w:rPr>
          <w:rFonts w:ascii="Marianne" w:hAnsi="Marianne"/>
          <w:b/>
          <w:sz w:val="18"/>
          <w:szCs w:val="20"/>
        </w:rPr>
      </w:pPr>
      <w:r w:rsidRPr="008E6BE7">
        <w:rPr>
          <w:rFonts w:ascii="Marianne" w:hAnsi="Marianne"/>
          <w:b/>
          <w:sz w:val="18"/>
          <w:szCs w:val="20"/>
        </w:rPr>
        <w:t xml:space="preserve">Compte-rendu de la réunion du </w:t>
      </w:r>
      <w:r w:rsidR="00BB0F17" w:rsidRPr="008E6BE7">
        <w:rPr>
          <w:rFonts w:ascii="Marianne" w:hAnsi="Marianne"/>
          <w:b/>
          <w:sz w:val="18"/>
          <w:szCs w:val="20"/>
        </w:rPr>
        <w:t>vendredi 22 avril 2022 (15h30 à 17h)</w:t>
      </w:r>
    </w:p>
    <w:p w14:paraId="33013133" w14:textId="77777777" w:rsidR="00650CF9" w:rsidRPr="008E6BE7" w:rsidRDefault="00650CF9" w:rsidP="00650CF9">
      <w:pPr>
        <w:jc w:val="both"/>
        <w:rPr>
          <w:rFonts w:ascii="Marianne" w:hAnsi="Marianne"/>
          <w:b/>
          <w:sz w:val="18"/>
          <w:szCs w:val="20"/>
          <w:u w:val="single"/>
        </w:rPr>
      </w:pPr>
      <w:r w:rsidRPr="008E6BE7">
        <w:rPr>
          <w:rFonts w:ascii="Marianne" w:hAnsi="Marianne"/>
          <w:b/>
          <w:sz w:val="18"/>
          <w:szCs w:val="20"/>
          <w:u w:val="single"/>
        </w:rPr>
        <w:t>Documents de séance de la réunion</w:t>
      </w:r>
      <w:r w:rsidRPr="008E6BE7">
        <w:rPr>
          <w:rFonts w:ascii="Calibri" w:hAnsi="Calibri" w:cs="Calibri"/>
          <w:b/>
          <w:sz w:val="18"/>
          <w:szCs w:val="20"/>
          <w:u w:val="single"/>
        </w:rPr>
        <w:t> </w:t>
      </w:r>
      <w:r w:rsidRPr="008E6BE7">
        <w:rPr>
          <w:rFonts w:ascii="Marianne" w:hAnsi="Marianne"/>
          <w:b/>
          <w:sz w:val="18"/>
          <w:szCs w:val="20"/>
          <w:u w:val="single"/>
        </w:rPr>
        <w:t xml:space="preserve">: </w:t>
      </w:r>
    </w:p>
    <w:p w14:paraId="4DBA7956" w14:textId="5F6EC7F1" w:rsidR="00253B98" w:rsidRPr="008E6BE7" w:rsidRDefault="00B47936">
      <w:pPr>
        <w:rPr>
          <w:rFonts w:ascii="Marianne" w:hAnsi="Marianne"/>
          <w:sz w:val="18"/>
          <w:szCs w:val="20"/>
        </w:rPr>
      </w:pPr>
      <w:r w:rsidRPr="008E6BE7">
        <w:rPr>
          <w:rFonts w:ascii="Marianne" w:hAnsi="Marianne"/>
          <w:sz w:val="18"/>
          <w:szCs w:val="20"/>
        </w:rPr>
        <w:t xml:space="preserve">PPT </w:t>
      </w:r>
      <w:r w:rsidR="00253B98" w:rsidRPr="008E6BE7">
        <w:rPr>
          <w:rFonts w:ascii="Marianne" w:hAnsi="Marianne"/>
          <w:sz w:val="18"/>
          <w:szCs w:val="20"/>
        </w:rPr>
        <w:t>COPIL PTGE</w:t>
      </w:r>
      <w:r w:rsidR="00AE67F0">
        <w:rPr>
          <w:rFonts w:ascii="Marianne" w:hAnsi="Marianne"/>
          <w:sz w:val="18"/>
          <w:szCs w:val="20"/>
        </w:rPr>
        <w:t xml:space="preserve"> – </w:t>
      </w:r>
      <w:r w:rsidR="00D30EB1">
        <w:rPr>
          <w:rFonts w:ascii="Marianne" w:hAnsi="Marianne"/>
          <w:sz w:val="18"/>
          <w:szCs w:val="20"/>
        </w:rPr>
        <w:t>Document sur la m</w:t>
      </w:r>
      <w:r w:rsidR="000A063D">
        <w:rPr>
          <w:rFonts w:ascii="Marianne" w:hAnsi="Marianne"/>
          <w:sz w:val="18"/>
          <w:szCs w:val="20"/>
        </w:rPr>
        <w:t xml:space="preserve">éthodologie de travail pour l’élaboration du guide national PTGE </w:t>
      </w:r>
    </w:p>
    <w:p w14:paraId="3A48CFB8" w14:textId="77777777" w:rsidR="00BD253D" w:rsidRDefault="004269C7" w:rsidP="00BD253D">
      <w:pPr>
        <w:jc w:val="both"/>
        <w:rPr>
          <w:rFonts w:ascii="Marianne" w:hAnsi="Marianne"/>
          <w:sz w:val="18"/>
          <w:szCs w:val="20"/>
        </w:rPr>
      </w:pPr>
      <w:r>
        <w:rPr>
          <w:rFonts w:ascii="Marianne" w:hAnsi="Marianne"/>
          <w:sz w:val="18"/>
          <w:szCs w:val="20"/>
        </w:rPr>
        <w:t>Présents</w:t>
      </w:r>
      <w:r w:rsidR="001212EA" w:rsidRPr="008E6BE7">
        <w:rPr>
          <w:rFonts w:ascii="Calibri" w:hAnsi="Calibri" w:cs="Calibri"/>
          <w:sz w:val="18"/>
          <w:szCs w:val="20"/>
        </w:rPr>
        <w:t> </w:t>
      </w:r>
      <w:r w:rsidR="001212EA" w:rsidRPr="008E6BE7">
        <w:rPr>
          <w:rFonts w:ascii="Marianne" w:hAnsi="Marianne"/>
          <w:sz w:val="18"/>
          <w:szCs w:val="20"/>
        </w:rPr>
        <w:t xml:space="preserve">: </w:t>
      </w:r>
    </w:p>
    <w:p w14:paraId="4854D20D" w14:textId="4A47A9C5" w:rsidR="00566705" w:rsidRDefault="004D426A" w:rsidP="00BD253D">
      <w:pPr>
        <w:jc w:val="both"/>
        <w:rPr>
          <w:rFonts w:ascii="Marianne" w:hAnsi="Marianne"/>
          <w:sz w:val="18"/>
          <w:szCs w:val="20"/>
        </w:rPr>
      </w:pPr>
      <w:r w:rsidRPr="008E6BE7">
        <w:rPr>
          <w:rFonts w:ascii="Marianne" w:hAnsi="Marianne"/>
          <w:sz w:val="18"/>
          <w:szCs w:val="20"/>
        </w:rPr>
        <w:t xml:space="preserve">Amélie </w:t>
      </w:r>
      <w:r w:rsidR="00866E82" w:rsidRPr="008E6BE7">
        <w:rPr>
          <w:rFonts w:ascii="Marianne" w:hAnsi="Marianne"/>
          <w:sz w:val="18"/>
          <w:szCs w:val="20"/>
        </w:rPr>
        <w:t xml:space="preserve">Coantic </w:t>
      </w:r>
      <w:r w:rsidRPr="008E6BE7">
        <w:rPr>
          <w:rFonts w:ascii="Marianne" w:hAnsi="Marianne"/>
          <w:sz w:val="18"/>
          <w:szCs w:val="20"/>
        </w:rPr>
        <w:t xml:space="preserve">(DEB), </w:t>
      </w:r>
      <w:r w:rsidR="001052ED" w:rsidRPr="008E6BE7">
        <w:rPr>
          <w:rFonts w:ascii="Marianne" w:hAnsi="Marianne"/>
          <w:sz w:val="18"/>
          <w:szCs w:val="20"/>
        </w:rPr>
        <w:t xml:space="preserve">Luc Servant (APCA), </w:t>
      </w:r>
      <w:r w:rsidR="00866E82" w:rsidRPr="008E6BE7">
        <w:rPr>
          <w:rFonts w:ascii="Marianne" w:eastAsia="Times New Roman" w:hAnsi="Marianne"/>
          <w:sz w:val="18"/>
          <w:szCs w:val="20"/>
        </w:rPr>
        <w:t>Didier Portelli (I</w:t>
      </w:r>
      <w:r w:rsidR="000A5805" w:rsidRPr="008E6BE7">
        <w:rPr>
          <w:rFonts w:ascii="Marianne" w:eastAsia="Times New Roman" w:hAnsi="Marianne"/>
          <w:sz w:val="18"/>
          <w:szCs w:val="20"/>
        </w:rPr>
        <w:t>nstitution Adour), Chiara Deleonardis (FP2E),</w:t>
      </w:r>
      <w:r w:rsidR="00050E38" w:rsidRPr="008E6BE7">
        <w:rPr>
          <w:rFonts w:ascii="Marianne" w:eastAsia="Times New Roman" w:hAnsi="Marianne"/>
          <w:sz w:val="18"/>
          <w:szCs w:val="20"/>
        </w:rPr>
        <w:t xml:space="preserve"> David Enjalbal (AEAG), Cyrielle Vandewalle (FNCCR)</w:t>
      </w:r>
      <w:r w:rsidR="009D7CB4" w:rsidRPr="008E6BE7">
        <w:rPr>
          <w:rFonts w:ascii="Marianne" w:eastAsia="Times New Roman" w:hAnsi="Marianne"/>
          <w:sz w:val="18"/>
          <w:szCs w:val="20"/>
        </w:rPr>
        <w:t>, Alexis Guilpart (FNE),</w:t>
      </w:r>
      <w:r w:rsidR="009A5C21" w:rsidRPr="008E6BE7">
        <w:rPr>
          <w:rFonts w:ascii="Marianne" w:eastAsia="Times New Roman" w:hAnsi="Marianne"/>
          <w:sz w:val="18"/>
          <w:szCs w:val="20"/>
        </w:rPr>
        <w:t xml:space="preserve"> </w:t>
      </w:r>
      <w:r w:rsidR="00866E82" w:rsidRPr="008E6BE7">
        <w:rPr>
          <w:rFonts w:ascii="Marianne" w:eastAsia="Times New Roman" w:hAnsi="Marianne"/>
          <w:sz w:val="18"/>
          <w:szCs w:val="20"/>
        </w:rPr>
        <w:t>Jérôme</w:t>
      </w:r>
      <w:r w:rsidR="009A5C21" w:rsidRPr="008E6BE7">
        <w:rPr>
          <w:rFonts w:ascii="Marianne" w:eastAsia="Times New Roman" w:hAnsi="Marianne"/>
          <w:sz w:val="18"/>
          <w:szCs w:val="20"/>
        </w:rPr>
        <w:t xml:space="preserve"> Hors (</w:t>
      </w:r>
      <w:r w:rsidR="00810B39" w:rsidRPr="008E6BE7">
        <w:rPr>
          <w:rFonts w:ascii="Marianne" w:eastAsia="Times New Roman" w:hAnsi="Marianne"/>
          <w:sz w:val="18"/>
          <w:szCs w:val="20"/>
        </w:rPr>
        <w:t>MAA),</w:t>
      </w:r>
      <w:r w:rsidR="001052ED" w:rsidRPr="008E6BE7">
        <w:rPr>
          <w:rFonts w:ascii="Marianne" w:hAnsi="Marianne"/>
          <w:sz w:val="18"/>
          <w:szCs w:val="20"/>
        </w:rPr>
        <w:t xml:space="preserve"> </w:t>
      </w:r>
      <w:r w:rsidR="00880FF3" w:rsidRPr="008E6BE7">
        <w:rPr>
          <w:rFonts w:ascii="Marianne" w:hAnsi="Marianne"/>
          <w:sz w:val="18"/>
          <w:szCs w:val="20"/>
        </w:rPr>
        <w:t>Frédéric Ernou (APCA), C</w:t>
      </w:r>
      <w:r w:rsidR="00866E82" w:rsidRPr="008E6BE7">
        <w:rPr>
          <w:rFonts w:ascii="Marianne" w:hAnsi="Marianne"/>
          <w:sz w:val="18"/>
          <w:szCs w:val="20"/>
        </w:rPr>
        <w:t>atherine</w:t>
      </w:r>
      <w:r w:rsidR="00880FF3" w:rsidRPr="008E6BE7">
        <w:rPr>
          <w:rFonts w:ascii="Marianne" w:hAnsi="Marianne"/>
          <w:sz w:val="18"/>
          <w:szCs w:val="20"/>
        </w:rPr>
        <w:t xml:space="preserve"> Gremillet (ANEB), Bastien Garitaine (DEB), Alexandra Lequien (DEB), </w:t>
      </w:r>
      <w:r w:rsidR="00DC3D5C" w:rsidRPr="008E6BE7">
        <w:rPr>
          <w:rFonts w:ascii="Marianne" w:hAnsi="Marianne"/>
          <w:sz w:val="18"/>
          <w:szCs w:val="20"/>
        </w:rPr>
        <w:t>Mathilde Morel (DEB), Emeline Rolland (AEAG), Xavier Marly (DREAL Grand-Est), Benoit Louchard (APCA), Anais Lort</w:t>
      </w:r>
      <w:r w:rsidR="00866E82" w:rsidRPr="008E6BE7">
        <w:rPr>
          <w:rFonts w:ascii="Marianne" w:hAnsi="Marianne"/>
          <w:sz w:val="18"/>
          <w:szCs w:val="20"/>
        </w:rPr>
        <w:t>et (AESN), Berengère Blin (DREAL</w:t>
      </w:r>
      <w:r w:rsidR="00DC3D5C" w:rsidRPr="008E6BE7">
        <w:rPr>
          <w:rFonts w:ascii="Marianne" w:hAnsi="Marianne"/>
          <w:sz w:val="18"/>
          <w:szCs w:val="20"/>
        </w:rPr>
        <w:t xml:space="preserve"> Occitanie), Pierre Piton (DR</w:t>
      </w:r>
      <w:r w:rsidR="00866E82" w:rsidRPr="008E6BE7">
        <w:rPr>
          <w:rFonts w:ascii="Marianne" w:hAnsi="Marianne"/>
          <w:sz w:val="18"/>
          <w:szCs w:val="20"/>
        </w:rPr>
        <w:t>AAF Centre-Val-de-Loire), Hamid</w:t>
      </w:r>
      <w:r w:rsidR="00DC3D5C" w:rsidRPr="008E6BE7">
        <w:rPr>
          <w:rFonts w:ascii="Marianne" w:hAnsi="Marianne"/>
          <w:sz w:val="18"/>
          <w:szCs w:val="20"/>
        </w:rPr>
        <w:t xml:space="preserve"> Oumoussa (FNPF), Julie Sendzik (ANEB), Laurence Gourcy (BRGM), J</w:t>
      </w:r>
      <w:r w:rsidR="00866E82" w:rsidRPr="008E6BE7">
        <w:rPr>
          <w:rFonts w:ascii="Marianne" w:hAnsi="Marianne"/>
          <w:sz w:val="18"/>
          <w:szCs w:val="20"/>
        </w:rPr>
        <w:t>ean-</w:t>
      </w:r>
      <w:r w:rsidR="00DC3D5C" w:rsidRPr="008E6BE7">
        <w:rPr>
          <w:rFonts w:ascii="Marianne" w:hAnsi="Marianne"/>
          <w:sz w:val="18"/>
          <w:szCs w:val="20"/>
        </w:rPr>
        <w:t>Sébastien Sauvourel (Villes de</w:t>
      </w:r>
      <w:r w:rsidR="00866E82" w:rsidRPr="008E6BE7">
        <w:rPr>
          <w:rFonts w:ascii="Marianne" w:hAnsi="Marianne"/>
          <w:sz w:val="18"/>
          <w:szCs w:val="20"/>
        </w:rPr>
        <w:t xml:space="preserve"> France), Martin Gutton (AELB)</w:t>
      </w:r>
      <w:r w:rsidR="002C3D3C">
        <w:rPr>
          <w:rFonts w:ascii="Marianne" w:hAnsi="Marianne"/>
          <w:sz w:val="18"/>
          <w:szCs w:val="20"/>
        </w:rPr>
        <w:t xml:space="preserve"> </w:t>
      </w:r>
      <w:r w:rsidR="00866E82" w:rsidRPr="008E6BE7">
        <w:rPr>
          <w:rFonts w:ascii="Marianne" w:hAnsi="Marianne"/>
          <w:sz w:val="18"/>
          <w:szCs w:val="20"/>
        </w:rPr>
        <w:t>et</w:t>
      </w:r>
      <w:r w:rsidR="00566705">
        <w:rPr>
          <w:rFonts w:ascii="Marianne" w:hAnsi="Marianne"/>
          <w:sz w:val="18"/>
          <w:szCs w:val="20"/>
        </w:rPr>
        <w:t xml:space="preserve"> Maëlle Drouillat (ACTeon).</w:t>
      </w:r>
    </w:p>
    <w:p w14:paraId="4DF98B64" w14:textId="4EBE8CBF" w:rsidR="004269C7" w:rsidRPr="008E6BE7" w:rsidRDefault="00D30EB1" w:rsidP="004269C7">
      <w:pPr>
        <w:jc w:val="both"/>
        <w:rPr>
          <w:rFonts w:ascii="Marianne" w:hAnsi="Marianne"/>
          <w:sz w:val="18"/>
          <w:szCs w:val="20"/>
        </w:rPr>
      </w:pPr>
      <w:r>
        <w:rPr>
          <w:rFonts w:ascii="Marianne" w:hAnsi="Marianne"/>
          <w:sz w:val="18"/>
          <w:szCs w:val="20"/>
        </w:rPr>
        <w:t>Jean Launay</w:t>
      </w:r>
      <w:r>
        <w:rPr>
          <w:rFonts w:ascii="Calibri" w:hAnsi="Calibri" w:cs="Calibri"/>
          <w:sz w:val="18"/>
          <w:szCs w:val="20"/>
        </w:rPr>
        <w:t> </w:t>
      </w:r>
      <w:r>
        <w:rPr>
          <w:rFonts w:ascii="Marianne" w:hAnsi="Marianne"/>
          <w:sz w:val="18"/>
          <w:szCs w:val="20"/>
        </w:rPr>
        <w:t xml:space="preserve">: </w:t>
      </w:r>
      <w:r w:rsidR="004269C7">
        <w:rPr>
          <w:rFonts w:ascii="Marianne" w:hAnsi="Marianne"/>
          <w:sz w:val="18"/>
          <w:szCs w:val="20"/>
        </w:rPr>
        <w:t>excusé</w:t>
      </w:r>
      <w:r w:rsidR="00BD253D">
        <w:rPr>
          <w:rFonts w:ascii="Marianne" w:hAnsi="Marianne"/>
          <w:sz w:val="18"/>
          <w:szCs w:val="20"/>
        </w:rPr>
        <w:t xml:space="preserve">. </w:t>
      </w:r>
    </w:p>
    <w:p w14:paraId="29823D14" w14:textId="77777777" w:rsidR="00F12CD3" w:rsidRPr="008E6BE7" w:rsidRDefault="00F12CD3" w:rsidP="00025129">
      <w:pPr>
        <w:jc w:val="both"/>
        <w:rPr>
          <w:rFonts w:ascii="Marianne" w:hAnsi="Marianne"/>
          <w:sz w:val="18"/>
          <w:szCs w:val="20"/>
          <w:u w:val="single"/>
        </w:rPr>
      </w:pPr>
      <w:r w:rsidRPr="008E6BE7">
        <w:rPr>
          <w:rFonts w:ascii="Marianne" w:hAnsi="Marianne"/>
          <w:b/>
          <w:sz w:val="18"/>
          <w:szCs w:val="20"/>
          <w:u w:val="single"/>
        </w:rPr>
        <w:t>1) Introduction</w:t>
      </w:r>
      <w:r w:rsidRPr="008E6BE7">
        <w:rPr>
          <w:rFonts w:ascii="Marianne" w:hAnsi="Marianne"/>
          <w:sz w:val="18"/>
          <w:szCs w:val="20"/>
          <w:u w:val="single"/>
        </w:rPr>
        <w:t xml:space="preserve"> </w:t>
      </w:r>
    </w:p>
    <w:p w14:paraId="6C44E140" w14:textId="57CCC7BF" w:rsidR="00F12CD3" w:rsidRPr="008E6BE7" w:rsidRDefault="00656CA6" w:rsidP="00025129">
      <w:pPr>
        <w:jc w:val="both"/>
        <w:rPr>
          <w:rFonts w:ascii="Marianne" w:hAnsi="Marianne"/>
          <w:sz w:val="18"/>
          <w:szCs w:val="20"/>
        </w:rPr>
      </w:pPr>
      <w:r>
        <w:rPr>
          <w:rFonts w:ascii="Marianne" w:hAnsi="Marianne"/>
          <w:sz w:val="18"/>
          <w:szCs w:val="20"/>
        </w:rPr>
        <w:t xml:space="preserve">La DEB </w:t>
      </w:r>
      <w:r w:rsidR="00F12CD3" w:rsidRPr="008E6BE7">
        <w:rPr>
          <w:rFonts w:ascii="Marianne" w:hAnsi="Marianne"/>
          <w:sz w:val="18"/>
          <w:szCs w:val="20"/>
        </w:rPr>
        <w:t xml:space="preserve">introduit la réunion en explicitant l’objectif du guide. Il s’agit </w:t>
      </w:r>
      <w:r w:rsidR="00D47E91" w:rsidRPr="008E6BE7">
        <w:rPr>
          <w:rFonts w:ascii="Marianne" w:hAnsi="Marianne"/>
          <w:sz w:val="18"/>
          <w:szCs w:val="20"/>
        </w:rPr>
        <w:t>d’identifier les étapes pertinentes d’élaboration du PTGE et de mettre en avant des</w:t>
      </w:r>
      <w:r w:rsidR="004269C7">
        <w:rPr>
          <w:rFonts w:ascii="Marianne" w:hAnsi="Marianne"/>
          <w:sz w:val="18"/>
          <w:szCs w:val="20"/>
        </w:rPr>
        <w:t xml:space="preserve"> exemples, des bonnes pratiques et des </w:t>
      </w:r>
      <w:r w:rsidR="00D47E91" w:rsidRPr="008E6BE7">
        <w:rPr>
          <w:rFonts w:ascii="Marianne" w:hAnsi="Marianne"/>
          <w:sz w:val="18"/>
          <w:szCs w:val="20"/>
        </w:rPr>
        <w:t>recommandations pour mener à bien ces étapes. Il ne s’agit pas de définir un cadre rigide mais d</w:t>
      </w:r>
      <w:r w:rsidR="00AB13FD" w:rsidRPr="008E6BE7">
        <w:rPr>
          <w:rFonts w:ascii="Marianne" w:hAnsi="Marianne"/>
          <w:sz w:val="18"/>
          <w:szCs w:val="20"/>
        </w:rPr>
        <w:t>e</w:t>
      </w:r>
      <w:r w:rsidR="00D47E91" w:rsidRPr="008E6BE7">
        <w:rPr>
          <w:rFonts w:ascii="Marianne" w:hAnsi="Marianne"/>
          <w:sz w:val="18"/>
          <w:szCs w:val="20"/>
        </w:rPr>
        <w:t xml:space="preserve"> mettre en avant </w:t>
      </w:r>
      <w:r w:rsidR="00813E30" w:rsidRPr="008E6BE7">
        <w:rPr>
          <w:rFonts w:ascii="Marianne" w:hAnsi="Marianne"/>
          <w:sz w:val="18"/>
          <w:szCs w:val="20"/>
        </w:rPr>
        <w:t>des options</w:t>
      </w:r>
      <w:r w:rsidR="00AB13FD" w:rsidRPr="008E6BE7">
        <w:rPr>
          <w:rFonts w:ascii="Marianne" w:hAnsi="Marianne"/>
          <w:sz w:val="18"/>
          <w:szCs w:val="20"/>
        </w:rPr>
        <w:t xml:space="preserve"> et</w:t>
      </w:r>
      <w:r w:rsidR="00813E30" w:rsidRPr="008E6BE7">
        <w:rPr>
          <w:rFonts w:ascii="Marianne" w:hAnsi="Marianne"/>
          <w:sz w:val="18"/>
          <w:szCs w:val="20"/>
        </w:rPr>
        <w:t xml:space="preserve"> des retours d’expériences.</w:t>
      </w:r>
      <w:r w:rsidR="0082488E" w:rsidRPr="008E6BE7">
        <w:rPr>
          <w:rFonts w:ascii="Marianne" w:hAnsi="Marianne"/>
          <w:sz w:val="18"/>
          <w:szCs w:val="20"/>
        </w:rPr>
        <w:t xml:space="preserve"> Les porteurs de projet PTGE </w:t>
      </w:r>
      <w:r w:rsidR="00566705">
        <w:rPr>
          <w:rFonts w:ascii="Marianne" w:hAnsi="Marianne"/>
          <w:sz w:val="18"/>
          <w:szCs w:val="20"/>
        </w:rPr>
        <w:t xml:space="preserve">et les acteurs de l’eau du territoire </w:t>
      </w:r>
      <w:r w:rsidR="0082488E" w:rsidRPr="008E6BE7">
        <w:rPr>
          <w:rFonts w:ascii="Marianne" w:hAnsi="Marianne"/>
          <w:sz w:val="18"/>
          <w:szCs w:val="20"/>
        </w:rPr>
        <w:t>sont les cibles de ce guide, le document devra être agile, synthétique, allant à l’essentiel.</w:t>
      </w:r>
    </w:p>
    <w:p w14:paraId="0F48B1CA" w14:textId="253B4284" w:rsidR="004269C7" w:rsidRDefault="000A46B5" w:rsidP="00025129">
      <w:pPr>
        <w:jc w:val="both"/>
        <w:rPr>
          <w:rFonts w:ascii="Marianne" w:hAnsi="Marianne"/>
          <w:sz w:val="18"/>
          <w:szCs w:val="20"/>
        </w:rPr>
      </w:pPr>
      <w:r w:rsidRPr="008E6BE7">
        <w:rPr>
          <w:rFonts w:ascii="Marianne" w:hAnsi="Marianne"/>
          <w:sz w:val="18"/>
          <w:szCs w:val="20"/>
        </w:rPr>
        <w:t>Même si l’élaborat</w:t>
      </w:r>
      <w:r w:rsidR="004269C7">
        <w:rPr>
          <w:rFonts w:ascii="Marianne" w:hAnsi="Marianne"/>
          <w:sz w:val="18"/>
          <w:szCs w:val="20"/>
        </w:rPr>
        <w:t>ion du guide ne figure pas en tant que tel dans les</w:t>
      </w:r>
      <w:r w:rsidR="00157605" w:rsidRPr="008E6BE7">
        <w:rPr>
          <w:rFonts w:ascii="Marianne" w:hAnsi="Marianne"/>
          <w:sz w:val="18"/>
          <w:szCs w:val="20"/>
        </w:rPr>
        <w:t xml:space="preserve"> annonces du Varenne de l’eau</w:t>
      </w:r>
      <w:r w:rsidR="004269C7">
        <w:rPr>
          <w:rFonts w:ascii="Marianne" w:hAnsi="Marianne"/>
          <w:sz w:val="18"/>
          <w:szCs w:val="20"/>
        </w:rPr>
        <w:t xml:space="preserve">, il s’agit </w:t>
      </w:r>
      <w:r w:rsidRPr="008E6BE7">
        <w:rPr>
          <w:rFonts w:ascii="Marianne" w:hAnsi="Marianne"/>
          <w:sz w:val="18"/>
          <w:szCs w:val="20"/>
        </w:rPr>
        <w:t>d’</w:t>
      </w:r>
      <w:r w:rsidR="004269C7">
        <w:rPr>
          <w:rFonts w:ascii="Marianne" w:hAnsi="Marianne"/>
          <w:sz w:val="18"/>
          <w:szCs w:val="20"/>
        </w:rPr>
        <w:t xml:space="preserve">un outil </w:t>
      </w:r>
      <w:r w:rsidR="00D30EB1">
        <w:rPr>
          <w:rFonts w:ascii="Marianne" w:hAnsi="Marianne"/>
          <w:sz w:val="18"/>
          <w:szCs w:val="20"/>
        </w:rPr>
        <w:t xml:space="preserve">très </w:t>
      </w:r>
      <w:r w:rsidR="004269C7">
        <w:rPr>
          <w:rFonts w:ascii="Marianne" w:hAnsi="Marianne"/>
          <w:sz w:val="18"/>
          <w:szCs w:val="20"/>
        </w:rPr>
        <w:t xml:space="preserve">attendu par les porteurs et les acteurs de la démarche. </w:t>
      </w:r>
    </w:p>
    <w:p w14:paraId="00613822" w14:textId="61C8C26B" w:rsidR="575F410A" w:rsidRPr="008E6BE7" w:rsidRDefault="004269C7" w:rsidP="00025129">
      <w:pPr>
        <w:jc w:val="both"/>
        <w:rPr>
          <w:rFonts w:ascii="Marianne" w:hAnsi="Marianne"/>
          <w:sz w:val="18"/>
          <w:szCs w:val="20"/>
        </w:rPr>
      </w:pPr>
      <w:r>
        <w:rPr>
          <w:rFonts w:ascii="Marianne" w:hAnsi="Marianne"/>
          <w:sz w:val="18"/>
          <w:szCs w:val="20"/>
        </w:rPr>
        <w:t xml:space="preserve">Le guide aura une visée opérationnelle, </w:t>
      </w:r>
      <w:r w:rsidR="00813E30" w:rsidRPr="008E6BE7">
        <w:rPr>
          <w:rFonts w:ascii="Marianne" w:hAnsi="Marianne"/>
          <w:sz w:val="18"/>
          <w:szCs w:val="20"/>
        </w:rPr>
        <w:t>prendra en compte</w:t>
      </w:r>
      <w:r w:rsidR="00EA2FF9">
        <w:rPr>
          <w:rFonts w:ascii="Marianne" w:hAnsi="Marianne"/>
          <w:sz w:val="18"/>
          <w:szCs w:val="20"/>
        </w:rPr>
        <w:t xml:space="preserve"> la matière existante, </w:t>
      </w:r>
      <w:r w:rsidR="00813E30" w:rsidRPr="008E6BE7">
        <w:rPr>
          <w:rFonts w:ascii="Marianne" w:hAnsi="Marianne"/>
          <w:sz w:val="18"/>
          <w:szCs w:val="20"/>
        </w:rPr>
        <w:t xml:space="preserve">les </w:t>
      </w:r>
      <w:r w:rsidR="00EA2FF9">
        <w:rPr>
          <w:rFonts w:ascii="Marianne" w:hAnsi="Marianne"/>
          <w:sz w:val="18"/>
          <w:szCs w:val="20"/>
        </w:rPr>
        <w:t xml:space="preserve">premières recommandations de la mission d’inspection sur les PTGE et les pistes </w:t>
      </w:r>
      <w:r>
        <w:rPr>
          <w:rFonts w:ascii="Marianne" w:hAnsi="Marianne"/>
          <w:sz w:val="18"/>
          <w:szCs w:val="20"/>
        </w:rPr>
        <w:t xml:space="preserve">d’amélioration </w:t>
      </w:r>
      <w:r w:rsidR="00EA2FF9">
        <w:rPr>
          <w:rFonts w:ascii="Marianne" w:hAnsi="Marianne"/>
          <w:sz w:val="18"/>
          <w:szCs w:val="20"/>
        </w:rPr>
        <w:t xml:space="preserve">identifiées </w:t>
      </w:r>
      <w:r w:rsidR="00CF7580" w:rsidRPr="008E6BE7">
        <w:rPr>
          <w:rFonts w:ascii="Marianne" w:hAnsi="Marianne"/>
          <w:sz w:val="18"/>
          <w:szCs w:val="20"/>
        </w:rPr>
        <w:t>au sein du</w:t>
      </w:r>
      <w:r w:rsidR="00AB388E" w:rsidRPr="008E6BE7">
        <w:rPr>
          <w:rFonts w:ascii="Marianne" w:hAnsi="Marianne"/>
          <w:sz w:val="18"/>
          <w:szCs w:val="20"/>
        </w:rPr>
        <w:t xml:space="preserve"> </w:t>
      </w:r>
      <w:r w:rsidR="575F410A" w:rsidRPr="008E6BE7">
        <w:rPr>
          <w:rFonts w:ascii="Marianne" w:hAnsi="Marianne"/>
          <w:sz w:val="18"/>
          <w:szCs w:val="20"/>
        </w:rPr>
        <w:t>GT PTGE Varenne</w:t>
      </w:r>
      <w:r w:rsidR="00C34E21" w:rsidRPr="008E6BE7">
        <w:rPr>
          <w:rFonts w:ascii="Marianne" w:hAnsi="Marianne"/>
          <w:sz w:val="18"/>
          <w:szCs w:val="20"/>
        </w:rPr>
        <w:t xml:space="preserve"> Agricole</w:t>
      </w:r>
      <w:r w:rsidR="575F410A" w:rsidRPr="008E6BE7">
        <w:rPr>
          <w:rFonts w:ascii="Marianne" w:hAnsi="Marianne"/>
          <w:sz w:val="18"/>
          <w:szCs w:val="20"/>
        </w:rPr>
        <w:t xml:space="preserve"> de l’ea</w:t>
      </w:r>
      <w:r w:rsidR="00EA2FF9">
        <w:rPr>
          <w:rFonts w:ascii="Marianne" w:hAnsi="Marianne"/>
          <w:sz w:val="18"/>
          <w:szCs w:val="20"/>
        </w:rPr>
        <w:t xml:space="preserve">u, présidé </w:t>
      </w:r>
      <w:r w:rsidR="00C34E21" w:rsidRPr="008E6BE7">
        <w:rPr>
          <w:rFonts w:ascii="Marianne" w:hAnsi="Marianne"/>
          <w:sz w:val="18"/>
          <w:szCs w:val="20"/>
        </w:rPr>
        <w:t xml:space="preserve">par </w:t>
      </w:r>
      <w:r w:rsidR="575F410A" w:rsidRPr="008E6BE7">
        <w:rPr>
          <w:rFonts w:ascii="Marianne" w:hAnsi="Marianne"/>
          <w:sz w:val="18"/>
          <w:szCs w:val="20"/>
        </w:rPr>
        <w:t>Luc Servant</w:t>
      </w:r>
      <w:r w:rsidR="00C34E21" w:rsidRPr="008E6BE7">
        <w:rPr>
          <w:rFonts w:ascii="Marianne" w:hAnsi="Marianne"/>
          <w:sz w:val="18"/>
          <w:szCs w:val="20"/>
        </w:rPr>
        <w:t xml:space="preserve"> et Jean</w:t>
      </w:r>
      <w:r w:rsidR="00EA2FF9">
        <w:rPr>
          <w:rFonts w:ascii="Marianne" w:hAnsi="Marianne"/>
          <w:sz w:val="18"/>
          <w:szCs w:val="20"/>
        </w:rPr>
        <w:t xml:space="preserve"> Launay. </w:t>
      </w:r>
    </w:p>
    <w:p w14:paraId="663CEC60" w14:textId="58CAC0BC" w:rsidR="00E5315C" w:rsidRPr="008E6BE7" w:rsidRDefault="00E5315C" w:rsidP="001C414F">
      <w:pPr>
        <w:jc w:val="both"/>
        <w:rPr>
          <w:rFonts w:ascii="Marianne" w:hAnsi="Marianne"/>
          <w:sz w:val="18"/>
          <w:szCs w:val="20"/>
        </w:rPr>
      </w:pPr>
      <w:r w:rsidRPr="008E6BE7">
        <w:rPr>
          <w:rFonts w:ascii="Marianne" w:hAnsi="Marianne"/>
          <w:sz w:val="18"/>
          <w:szCs w:val="20"/>
        </w:rPr>
        <w:t>Suite à une question</w:t>
      </w:r>
      <w:r w:rsidR="00D30EB1">
        <w:rPr>
          <w:rFonts w:ascii="Marianne" w:hAnsi="Marianne"/>
          <w:sz w:val="18"/>
          <w:szCs w:val="20"/>
        </w:rPr>
        <w:t xml:space="preserve"> de Luc Servant</w:t>
      </w:r>
      <w:r w:rsidR="00EA2FF9">
        <w:rPr>
          <w:rFonts w:ascii="Marianne" w:hAnsi="Marianne"/>
          <w:sz w:val="18"/>
          <w:szCs w:val="20"/>
        </w:rPr>
        <w:t xml:space="preserve"> sur l’additif à l’instruction PTGE du 7 mai 2019</w:t>
      </w:r>
      <w:r w:rsidRPr="008E6BE7">
        <w:rPr>
          <w:rFonts w:ascii="Marianne" w:hAnsi="Marianne"/>
          <w:sz w:val="18"/>
          <w:szCs w:val="20"/>
        </w:rPr>
        <w:t xml:space="preserve">, la DEB </w:t>
      </w:r>
      <w:r w:rsidR="00EA2FF9">
        <w:rPr>
          <w:rFonts w:ascii="Marianne" w:hAnsi="Marianne"/>
          <w:sz w:val="18"/>
          <w:szCs w:val="20"/>
        </w:rPr>
        <w:t xml:space="preserve">indique que cet </w:t>
      </w:r>
      <w:r w:rsidR="0094095C" w:rsidRPr="008E6BE7">
        <w:rPr>
          <w:rFonts w:ascii="Marianne" w:hAnsi="Marianne"/>
          <w:sz w:val="18"/>
          <w:szCs w:val="20"/>
        </w:rPr>
        <w:t xml:space="preserve">additif est </w:t>
      </w:r>
      <w:r w:rsidR="00C91C25" w:rsidRPr="008E6BE7">
        <w:rPr>
          <w:rFonts w:ascii="Marianne" w:hAnsi="Marianne"/>
          <w:sz w:val="18"/>
          <w:szCs w:val="20"/>
        </w:rPr>
        <w:t>en cours de validation</w:t>
      </w:r>
      <w:r w:rsidR="00EA2FF9">
        <w:rPr>
          <w:rFonts w:ascii="Marianne" w:hAnsi="Marianne"/>
          <w:sz w:val="18"/>
          <w:szCs w:val="20"/>
        </w:rPr>
        <w:t xml:space="preserve"> par les Cabinets</w:t>
      </w:r>
      <w:r w:rsidR="00C91C25" w:rsidRPr="008E6BE7">
        <w:rPr>
          <w:rFonts w:ascii="Marianne" w:hAnsi="Marianne"/>
          <w:sz w:val="18"/>
          <w:szCs w:val="20"/>
        </w:rPr>
        <w:t xml:space="preserve">. </w:t>
      </w:r>
      <w:r w:rsidR="00D30EB1">
        <w:rPr>
          <w:rFonts w:ascii="Marianne" w:hAnsi="Marianne"/>
          <w:sz w:val="18"/>
          <w:szCs w:val="20"/>
        </w:rPr>
        <w:t>L’additif viendra</w:t>
      </w:r>
      <w:r w:rsidR="00C91C25" w:rsidRPr="008E6BE7">
        <w:rPr>
          <w:rFonts w:ascii="Marianne" w:hAnsi="Marianne"/>
          <w:sz w:val="18"/>
          <w:szCs w:val="20"/>
        </w:rPr>
        <w:t xml:space="preserve"> pointer le rôle de l’Etat, </w:t>
      </w:r>
      <w:r w:rsidR="00E1720E" w:rsidRPr="008E6BE7">
        <w:rPr>
          <w:rFonts w:ascii="Marianne" w:hAnsi="Marianne"/>
          <w:sz w:val="18"/>
          <w:szCs w:val="20"/>
        </w:rPr>
        <w:t>et plus spécifiquement</w:t>
      </w:r>
      <w:r w:rsidR="00C91C25" w:rsidRPr="008E6BE7">
        <w:rPr>
          <w:rFonts w:ascii="Marianne" w:hAnsi="Marianne"/>
          <w:sz w:val="18"/>
          <w:szCs w:val="20"/>
        </w:rPr>
        <w:t xml:space="preserve"> </w:t>
      </w:r>
      <w:r w:rsidR="00EA2FF9">
        <w:rPr>
          <w:rFonts w:ascii="Marianne" w:hAnsi="Marianne"/>
          <w:sz w:val="18"/>
          <w:szCs w:val="20"/>
        </w:rPr>
        <w:t xml:space="preserve">celui des préfets en cas </w:t>
      </w:r>
      <w:r w:rsidR="00C91C25" w:rsidRPr="008E6BE7">
        <w:rPr>
          <w:rFonts w:ascii="Marianne" w:hAnsi="Marianne"/>
          <w:sz w:val="18"/>
          <w:szCs w:val="20"/>
        </w:rPr>
        <w:t>blocages</w:t>
      </w:r>
      <w:r w:rsidR="00D30EB1">
        <w:rPr>
          <w:rFonts w:ascii="Marianne" w:hAnsi="Marianne"/>
          <w:sz w:val="18"/>
          <w:szCs w:val="20"/>
        </w:rPr>
        <w:t xml:space="preserve"> persistants</w:t>
      </w:r>
      <w:r w:rsidR="00E1720E" w:rsidRPr="008E6BE7">
        <w:rPr>
          <w:rFonts w:ascii="Marianne" w:hAnsi="Marianne"/>
          <w:sz w:val="18"/>
          <w:szCs w:val="20"/>
        </w:rPr>
        <w:t>. Il n’y a à</w:t>
      </w:r>
      <w:r w:rsidR="001C414F">
        <w:rPr>
          <w:rFonts w:ascii="Marianne" w:hAnsi="Marianne"/>
          <w:sz w:val="18"/>
          <w:szCs w:val="20"/>
        </w:rPr>
        <w:t xml:space="preserve"> ce jour pas de date connue pour la sortie de ce texte. </w:t>
      </w:r>
    </w:p>
    <w:p w14:paraId="456D540C" w14:textId="7580689F" w:rsidR="005074BD" w:rsidRPr="008E6BE7" w:rsidRDefault="005074BD" w:rsidP="00025129">
      <w:pPr>
        <w:pStyle w:val="Sansinterligne"/>
        <w:spacing w:before="120" w:after="120"/>
        <w:jc w:val="both"/>
        <w:rPr>
          <w:rFonts w:ascii="Marianne" w:hAnsi="Marianne"/>
          <w:b/>
          <w:sz w:val="18"/>
          <w:szCs w:val="20"/>
          <w:u w:val="single"/>
        </w:rPr>
      </w:pPr>
      <w:r w:rsidRPr="008E6BE7">
        <w:rPr>
          <w:rFonts w:ascii="Marianne" w:hAnsi="Marianne"/>
          <w:b/>
          <w:sz w:val="18"/>
          <w:szCs w:val="20"/>
          <w:u w:val="single"/>
        </w:rPr>
        <w:t>2) Présentation de l'avancement des travaux sur l’élaboration du guide</w:t>
      </w:r>
    </w:p>
    <w:p w14:paraId="31FBD914" w14:textId="5129111A" w:rsidR="001C414F" w:rsidRDefault="008E6BE7" w:rsidP="008E6BE7">
      <w:pPr>
        <w:jc w:val="both"/>
        <w:rPr>
          <w:rFonts w:ascii="Marianne" w:hAnsi="Marianne"/>
          <w:sz w:val="18"/>
          <w:szCs w:val="20"/>
        </w:rPr>
      </w:pPr>
      <w:r w:rsidRPr="008E6BE7">
        <w:rPr>
          <w:rFonts w:ascii="Marianne" w:hAnsi="Marianne"/>
          <w:sz w:val="18"/>
          <w:szCs w:val="20"/>
        </w:rPr>
        <w:t>L’objectif de ce COPIL est la rédaction du guide</w:t>
      </w:r>
      <w:r w:rsidR="001C414F">
        <w:rPr>
          <w:rFonts w:ascii="Marianne" w:hAnsi="Marianne"/>
          <w:sz w:val="18"/>
          <w:szCs w:val="20"/>
        </w:rPr>
        <w:t xml:space="preserve"> d’ici à la fin de l’année</w:t>
      </w:r>
      <w:r w:rsidRPr="008E6BE7">
        <w:rPr>
          <w:rFonts w:ascii="Marianne" w:hAnsi="Marianne"/>
          <w:sz w:val="18"/>
          <w:szCs w:val="20"/>
        </w:rPr>
        <w:t xml:space="preserve">. </w:t>
      </w:r>
      <w:r w:rsidR="00BD253D">
        <w:rPr>
          <w:rFonts w:ascii="Marianne" w:hAnsi="Marianne"/>
          <w:sz w:val="18"/>
          <w:szCs w:val="20"/>
        </w:rPr>
        <w:t>Le MTE revient sur le rétro</w:t>
      </w:r>
      <w:r w:rsidR="001C414F">
        <w:rPr>
          <w:rFonts w:ascii="Marianne" w:hAnsi="Marianne"/>
          <w:sz w:val="18"/>
          <w:szCs w:val="20"/>
        </w:rPr>
        <w:t>planni</w:t>
      </w:r>
      <w:r w:rsidR="00BD253D">
        <w:rPr>
          <w:rFonts w:ascii="Marianne" w:hAnsi="Marianne"/>
          <w:sz w:val="18"/>
          <w:szCs w:val="20"/>
        </w:rPr>
        <w:t>n</w:t>
      </w:r>
      <w:r w:rsidR="001C414F">
        <w:rPr>
          <w:rFonts w:ascii="Marianne" w:hAnsi="Marianne"/>
          <w:sz w:val="18"/>
          <w:szCs w:val="20"/>
        </w:rPr>
        <w:t xml:space="preserve">g avec 4 COPIL et 3 GT </w:t>
      </w:r>
      <w:r>
        <w:rPr>
          <w:rFonts w:ascii="Marianne" w:hAnsi="Marianne"/>
          <w:sz w:val="18"/>
          <w:szCs w:val="20"/>
        </w:rPr>
        <w:t xml:space="preserve">PTGE </w:t>
      </w:r>
      <w:r w:rsidR="001C414F">
        <w:rPr>
          <w:rFonts w:ascii="Marianne" w:hAnsi="Marianne"/>
          <w:sz w:val="18"/>
          <w:szCs w:val="20"/>
        </w:rPr>
        <w:t xml:space="preserve">programmés d’ici fin 2022. </w:t>
      </w:r>
    </w:p>
    <w:p w14:paraId="7FE04F79" w14:textId="65EA290E" w:rsidR="005074BD" w:rsidRPr="008E6BE7" w:rsidRDefault="00DA5BEF" w:rsidP="00025129">
      <w:pPr>
        <w:pStyle w:val="Sansinterligne"/>
        <w:spacing w:before="120" w:after="120"/>
        <w:jc w:val="both"/>
        <w:rPr>
          <w:rFonts w:ascii="Marianne" w:hAnsi="Marianne"/>
          <w:sz w:val="18"/>
          <w:szCs w:val="20"/>
        </w:rPr>
      </w:pPr>
      <w:r w:rsidRPr="008E6BE7">
        <w:rPr>
          <w:rFonts w:ascii="Marianne" w:hAnsi="Marianne"/>
          <w:sz w:val="18"/>
          <w:szCs w:val="20"/>
        </w:rPr>
        <w:t>L</w:t>
      </w:r>
      <w:r w:rsidR="00075B05" w:rsidRPr="008E6BE7">
        <w:rPr>
          <w:rFonts w:ascii="Marianne" w:hAnsi="Marianne"/>
          <w:sz w:val="18"/>
          <w:szCs w:val="20"/>
        </w:rPr>
        <w:t>e MTE</w:t>
      </w:r>
      <w:r w:rsidRPr="008E6BE7">
        <w:rPr>
          <w:rFonts w:ascii="Marianne" w:hAnsi="Marianne"/>
          <w:sz w:val="18"/>
          <w:szCs w:val="20"/>
        </w:rPr>
        <w:t xml:space="preserve"> indique</w:t>
      </w:r>
      <w:r w:rsidR="002D3E66" w:rsidRPr="008E6BE7">
        <w:rPr>
          <w:rFonts w:ascii="Marianne" w:hAnsi="Marianne"/>
          <w:sz w:val="18"/>
          <w:szCs w:val="20"/>
        </w:rPr>
        <w:t xml:space="preserve"> qu’en plus du bureau d’étude accompagnant la réalisation du guide (ACTeon), des contacts </w:t>
      </w:r>
      <w:r w:rsidR="00D17C23" w:rsidRPr="008E6BE7">
        <w:rPr>
          <w:rFonts w:ascii="Marianne" w:hAnsi="Marianne"/>
          <w:sz w:val="18"/>
          <w:szCs w:val="20"/>
        </w:rPr>
        <w:t>ont déjà été pris avec certaines structures pour bénéficier de leur expertise (INRAE, ACTA, OFB, BRGM). Certains de ces experts seront plus particulièrement mobilisé</w:t>
      </w:r>
      <w:r w:rsidR="00075B05" w:rsidRPr="008E6BE7">
        <w:rPr>
          <w:rFonts w:ascii="Marianne" w:hAnsi="Marianne"/>
          <w:sz w:val="18"/>
          <w:szCs w:val="20"/>
        </w:rPr>
        <w:t>s</w:t>
      </w:r>
      <w:r w:rsidR="00D17C23" w:rsidRPr="008E6BE7">
        <w:rPr>
          <w:rFonts w:ascii="Marianne" w:hAnsi="Marianne"/>
          <w:sz w:val="18"/>
          <w:szCs w:val="20"/>
        </w:rPr>
        <w:t xml:space="preserve"> sur la rédaction d’annexe</w:t>
      </w:r>
      <w:r w:rsidR="00075B05" w:rsidRPr="008E6BE7">
        <w:rPr>
          <w:rFonts w:ascii="Marianne" w:hAnsi="Marianne"/>
          <w:sz w:val="18"/>
          <w:szCs w:val="20"/>
        </w:rPr>
        <w:t>s</w:t>
      </w:r>
      <w:r w:rsidR="00D17C23" w:rsidRPr="008E6BE7">
        <w:rPr>
          <w:rFonts w:ascii="Marianne" w:hAnsi="Marianne"/>
          <w:sz w:val="18"/>
          <w:szCs w:val="20"/>
        </w:rPr>
        <w:t xml:space="preserve"> selon leurs </w:t>
      </w:r>
      <w:r w:rsidR="00BD253D">
        <w:rPr>
          <w:rFonts w:ascii="Marianne" w:hAnsi="Marianne"/>
          <w:sz w:val="18"/>
          <w:szCs w:val="20"/>
        </w:rPr>
        <w:t xml:space="preserve">domaines de </w:t>
      </w:r>
      <w:r w:rsidR="00D17C23" w:rsidRPr="008E6BE7">
        <w:rPr>
          <w:rFonts w:ascii="Marianne" w:hAnsi="Marianne"/>
          <w:sz w:val="18"/>
          <w:szCs w:val="20"/>
        </w:rPr>
        <w:t>compétences.</w:t>
      </w:r>
    </w:p>
    <w:p w14:paraId="5903B898" w14:textId="1A0E7FBD" w:rsidR="00566705" w:rsidRDefault="00D355F2" w:rsidP="00566705">
      <w:pPr>
        <w:jc w:val="both"/>
        <w:rPr>
          <w:rFonts w:ascii="Marianne" w:hAnsi="Marianne"/>
          <w:sz w:val="18"/>
          <w:szCs w:val="20"/>
        </w:rPr>
      </w:pPr>
      <w:r w:rsidRPr="008E6BE7">
        <w:rPr>
          <w:rFonts w:ascii="Marianne" w:hAnsi="Marianne"/>
          <w:sz w:val="18"/>
          <w:szCs w:val="20"/>
        </w:rPr>
        <w:t>Pour bénéficier de retours d’expérience, une liste de porteurs de projet a été constitué</w:t>
      </w:r>
      <w:r w:rsidR="00566705">
        <w:rPr>
          <w:rFonts w:ascii="Marianne" w:hAnsi="Marianne"/>
          <w:sz w:val="18"/>
          <w:szCs w:val="20"/>
        </w:rPr>
        <w:t>e</w:t>
      </w:r>
      <w:r w:rsidRPr="008E6BE7">
        <w:rPr>
          <w:rFonts w:ascii="Marianne" w:hAnsi="Marianne"/>
          <w:sz w:val="18"/>
          <w:szCs w:val="20"/>
        </w:rPr>
        <w:t xml:space="preserve"> (avec l’appui de l’ANEB). Les porteurs de projets seront contactés par le bureau d’étude qui synthétisera différents types d’éléments permettant d’alimenter le guide.</w:t>
      </w:r>
    </w:p>
    <w:p w14:paraId="5A92AA8A" w14:textId="3B7384FD" w:rsidR="00D355F2" w:rsidRPr="00566705" w:rsidRDefault="00AD6782" w:rsidP="00566705">
      <w:pPr>
        <w:pStyle w:val="Sansinterligne"/>
        <w:spacing w:before="120" w:after="120"/>
        <w:jc w:val="both"/>
        <w:rPr>
          <w:rFonts w:ascii="Marianne" w:hAnsi="Marianne"/>
          <w:b/>
          <w:sz w:val="18"/>
          <w:szCs w:val="20"/>
          <w:u w:val="single"/>
        </w:rPr>
      </w:pPr>
      <w:r w:rsidRPr="008E6BE7">
        <w:rPr>
          <w:rFonts w:ascii="Marianne" w:hAnsi="Marianne"/>
          <w:b/>
          <w:sz w:val="18"/>
          <w:szCs w:val="20"/>
          <w:u w:val="single"/>
        </w:rPr>
        <w:t>3</w:t>
      </w:r>
      <w:r w:rsidR="00245053" w:rsidRPr="008E6BE7">
        <w:rPr>
          <w:rFonts w:ascii="Marianne" w:hAnsi="Marianne"/>
          <w:b/>
          <w:sz w:val="18"/>
          <w:szCs w:val="20"/>
          <w:u w:val="single"/>
        </w:rPr>
        <w:t xml:space="preserve">) Recensement des demandes et </w:t>
      </w:r>
      <w:r w:rsidR="004C7DBE" w:rsidRPr="008E6BE7">
        <w:rPr>
          <w:rFonts w:ascii="Marianne" w:hAnsi="Marianne"/>
          <w:b/>
          <w:sz w:val="18"/>
          <w:szCs w:val="20"/>
          <w:u w:val="single"/>
        </w:rPr>
        <w:t xml:space="preserve">des </w:t>
      </w:r>
      <w:r w:rsidR="00245053" w:rsidRPr="008E6BE7">
        <w:rPr>
          <w:rFonts w:ascii="Marianne" w:hAnsi="Marianne"/>
          <w:b/>
          <w:sz w:val="18"/>
          <w:szCs w:val="20"/>
          <w:u w:val="single"/>
        </w:rPr>
        <w:t>besoins autour de l’élaboration du guide</w:t>
      </w:r>
    </w:p>
    <w:p w14:paraId="3EE63127" w14:textId="51826139" w:rsidR="000F15E8" w:rsidRPr="008E6BE7" w:rsidRDefault="00AD6782" w:rsidP="00025129">
      <w:pPr>
        <w:jc w:val="both"/>
        <w:rPr>
          <w:rFonts w:ascii="Marianne" w:hAnsi="Marianne"/>
          <w:sz w:val="18"/>
          <w:szCs w:val="20"/>
          <w:u w:val="single"/>
        </w:rPr>
      </w:pPr>
      <w:r w:rsidRPr="008E6BE7">
        <w:rPr>
          <w:rFonts w:ascii="Marianne" w:hAnsi="Marianne"/>
          <w:sz w:val="18"/>
          <w:szCs w:val="20"/>
          <w:u w:val="single"/>
        </w:rPr>
        <w:t>3</w:t>
      </w:r>
      <w:r w:rsidR="000F15E8" w:rsidRPr="008E6BE7">
        <w:rPr>
          <w:rFonts w:ascii="Marianne" w:hAnsi="Marianne"/>
          <w:sz w:val="18"/>
          <w:szCs w:val="20"/>
          <w:u w:val="single"/>
        </w:rPr>
        <w:t>)a) Remarques d’ordre général</w:t>
      </w:r>
    </w:p>
    <w:p w14:paraId="2B87CA0A" w14:textId="1164CF37" w:rsidR="001C414F" w:rsidRDefault="007B71D3" w:rsidP="002A0CB3">
      <w:pPr>
        <w:rPr>
          <w:rFonts w:ascii="Marianne" w:hAnsi="Marianne"/>
          <w:sz w:val="18"/>
          <w:szCs w:val="20"/>
        </w:rPr>
      </w:pPr>
      <w:r>
        <w:rPr>
          <w:rFonts w:ascii="Marianne" w:hAnsi="Marianne"/>
          <w:sz w:val="18"/>
          <w:szCs w:val="20"/>
        </w:rPr>
        <w:t xml:space="preserve">L’ANEB souhaite que ce guide soit évolutif </w:t>
      </w:r>
      <w:r w:rsidR="00BD253D">
        <w:rPr>
          <w:rFonts w:ascii="Marianne" w:hAnsi="Marianne"/>
          <w:sz w:val="18"/>
          <w:szCs w:val="20"/>
        </w:rPr>
        <w:t>(</w:t>
      </w:r>
      <w:r w:rsidR="002A0CB3" w:rsidRPr="002A0CB3">
        <w:rPr>
          <w:rFonts w:ascii="Marianne" w:hAnsi="Marianne"/>
          <w:sz w:val="18"/>
          <w:szCs w:val="20"/>
        </w:rPr>
        <w:t xml:space="preserve">version en ligne, qui pourrait s’alimenter de </w:t>
      </w:r>
      <w:r w:rsidR="00D30EB1">
        <w:rPr>
          <w:rFonts w:ascii="Marianne" w:hAnsi="Marianne"/>
          <w:sz w:val="18"/>
          <w:szCs w:val="20"/>
        </w:rPr>
        <w:t xml:space="preserve">contributions de </w:t>
      </w:r>
      <w:r w:rsidR="002A0CB3" w:rsidRPr="002A0CB3">
        <w:rPr>
          <w:rFonts w:ascii="Marianne" w:hAnsi="Marianne"/>
          <w:sz w:val="18"/>
          <w:szCs w:val="20"/>
        </w:rPr>
        <w:t>groupes de travail, de nouveaux Rex...</w:t>
      </w:r>
      <w:r w:rsidR="002A0CB3">
        <w:rPr>
          <w:rFonts w:ascii="Marianne" w:hAnsi="Marianne"/>
          <w:sz w:val="18"/>
          <w:szCs w:val="20"/>
        </w:rPr>
        <w:t xml:space="preserve">) et </w:t>
      </w:r>
      <w:r>
        <w:rPr>
          <w:rFonts w:ascii="Marianne" w:hAnsi="Marianne"/>
          <w:sz w:val="18"/>
          <w:szCs w:val="20"/>
        </w:rPr>
        <w:t xml:space="preserve">pose la question du lien </w:t>
      </w:r>
      <w:r w:rsidR="002A0CB3">
        <w:rPr>
          <w:rFonts w:ascii="Marianne" w:hAnsi="Marianne"/>
          <w:sz w:val="18"/>
          <w:szCs w:val="20"/>
        </w:rPr>
        <w:t xml:space="preserve">avec le centre de ressources. Selon l’ANEB, le guide doit s’adresser aux seuls porteurs de projets, qui sont en charge de la démarche PTGE. Une partie en amont du guide, pour décrire </w:t>
      </w:r>
      <w:r w:rsidR="002A0CB3" w:rsidRPr="002A0CB3">
        <w:rPr>
          <w:rFonts w:ascii="Marianne" w:hAnsi="Marianne"/>
          <w:sz w:val="18"/>
          <w:szCs w:val="20"/>
        </w:rPr>
        <w:t>l’iden</w:t>
      </w:r>
      <w:r w:rsidR="002A0CB3">
        <w:rPr>
          <w:rFonts w:ascii="Marianne" w:hAnsi="Marianne"/>
          <w:sz w:val="18"/>
          <w:szCs w:val="20"/>
        </w:rPr>
        <w:t>tification du</w:t>
      </w:r>
      <w:r w:rsidR="00D30EB1">
        <w:rPr>
          <w:rFonts w:ascii="Marianne" w:hAnsi="Marianne"/>
          <w:sz w:val="18"/>
          <w:szCs w:val="20"/>
        </w:rPr>
        <w:t xml:space="preserve"> porteur de projet est préconisée. </w:t>
      </w:r>
    </w:p>
    <w:p w14:paraId="35BCFD70" w14:textId="596FCB48" w:rsidR="002A0CB3" w:rsidRDefault="00C01B87" w:rsidP="002A0CB3">
      <w:pPr>
        <w:jc w:val="both"/>
        <w:rPr>
          <w:rFonts w:ascii="Marianne" w:hAnsi="Marianne"/>
          <w:sz w:val="18"/>
          <w:szCs w:val="20"/>
        </w:rPr>
      </w:pPr>
      <w:r w:rsidRPr="008E6BE7">
        <w:rPr>
          <w:rFonts w:ascii="Marianne" w:hAnsi="Marianne"/>
          <w:sz w:val="18"/>
          <w:szCs w:val="20"/>
        </w:rPr>
        <w:t xml:space="preserve">Le MTE </w:t>
      </w:r>
      <w:r w:rsidR="002A0CB3">
        <w:rPr>
          <w:rFonts w:ascii="Marianne" w:hAnsi="Marianne"/>
          <w:sz w:val="18"/>
          <w:szCs w:val="20"/>
        </w:rPr>
        <w:t xml:space="preserve">indique </w:t>
      </w:r>
      <w:r w:rsidR="00A0046C" w:rsidRPr="008E6BE7">
        <w:rPr>
          <w:rFonts w:ascii="Marianne" w:hAnsi="Marianne"/>
          <w:sz w:val="18"/>
          <w:szCs w:val="20"/>
        </w:rPr>
        <w:t>que la gouvernance dans la déclinaison des PTGE est large, de nombreux acteurs diversifiés se posant également des questions</w:t>
      </w:r>
      <w:r w:rsidR="00D30EB1">
        <w:rPr>
          <w:rFonts w:ascii="Marianne" w:hAnsi="Marianne"/>
          <w:sz w:val="18"/>
          <w:szCs w:val="20"/>
        </w:rPr>
        <w:t xml:space="preserve"> sur la démarche</w:t>
      </w:r>
      <w:r w:rsidR="00A0046C" w:rsidRPr="008E6BE7">
        <w:rPr>
          <w:rFonts w:ascii="Marianne" w:hAnsi="Marianne"/>
          <w:sz w:val="18"/>
          <w:szCs w:val="20"/>
        </w:rPr>
        <w:t xml:space="preserve">. </w:t>
      </w:r>
      <w:r w:rsidR="002A0CB3">
        <w:rPr>
          <w:rFonts w:ascii="Marianne" w:hAnsi="Marianne"/>
          <w:sz w:val="18"/>
          <w:szCs w:val="20"/>
        </w:rPr>
        <w:t xml:space="preserve">Il serait opportun d’élargir </w:t>
      </w:r>
      <w:r w:rsidR="00D30EB1">
        <w:rPr>
          <w:rFonts w:ascii="Marianne" w:hAnsi="Marianne"/>
          <w:sz w:val="18"/>
          <w:szCs w:val="20"/>
        </w:rPr>
        <w:t xml:space="preserve">le public cible à l’ensemble des acteurs de </w:t>
      </w:r>
      <w:r w:rsidR="002A0CB3">
        <w:rPr>
          <w:rFonts w:ascii="Marianne" w:hAnsi="Marianne"/>
          <w:sz w:val="18"/>
          <w:szCs w:val="20"/>
        </w:rPr>
        <w:t xml:space="preserve">la démarche. </w:t>
      </w:r>
      <w:r w:rsidR="002709B1" w:rsidRPr="008E6BE7">
        <w:rPr>
          <w:rFonts w:ascii="Marianne" w:hAnsi="Marianne"/>
          <w:sz w:val="18"/>
          <w:szCs w:val="20"/>
        </w:rPr>
        <w:t>Une réflexion sera entamée sur</w:t>
      </w:r>
      <w:r w:rsidR="00A0046C" w:rsidRPr="008E6BE7">
        <w:rPr>
          <w:rFonts w:ascii="Marianne" w:hAnsi="Marianne"/>
          <w:sz w:val="18"/>
          <w:szCs w:val="20"/>
        </w:rPr>
        <w:t xml:space="preserve"> la façon de</w:t>
      </w:r>
      <w:r w:rsidR="00DF5FA8" w:rsidRPr="008E6BE7">
        <w:rPr>
          <w:rFonts w:ascii="Marianne" w:hAnsi="Marianne"/>
          <w:sz w:val="18"/>
          <w:szCs w:val="20"/>
        </w:rPr>
        <w:t xml:space="preserve"> </w:t>
      </w:r>
      <w:r w:rsidR="00607E2C" w:rsidRPr="008E6BE7">
        <w:rPr>
          <w:rFonts w:ascii="Marianne" w:hAnsi="Marianne"/>
          <w:sz w:val="18"/>
          <w:szCs w:val="20"/>
        </w:rPr>
        <w:t>répondre à certains de leurs questionnements au sein du guide</w:t>
      </w:r>
      <w:r w:rsidR="007A3015" w:rsidRPr="008E6BE7">
        <w:rPr>
          <w:rFonts w:ascii="Marianne" w:hAnsi="Marianne"/>
          <w:sz w:val="18"/>
          <w:szCs w:val="20"/>
        </w:rPr>
        <w:t xml:space="preserve"> (annexes spécifiques, explicitation claire des rôles </w:t>
      </w:r>
      <w:r w:rsidR="000F15E8" w:rsidRPr="008E6BE7">
        <w:rPr>
          <w:rFonts w:ascii="Marianne" w:hAnsi="Marianne"/>
          <w:sz w:val="18"/>
          <w:szCs w:val="20"/>
        </w:rPr>
        <w:t>de chaque structure aux différentes étapes, etc.)</w:t>
      </w:r>
      <w:r w:rsidR="00C07B31" w:rsidRPr="008E6BE7">
        <w:rPr>
          <w:rFonts w:ascii="Marianne" w:hAnsi="Marianne"/>
          <w:sz w:val="18"/>
          <w:szCs w:val="20"/>
        </w:rPr>
        <w:t>.</w:t>
      </w:r>
      <w:r w:rsidR="00656CA6">
        <w:rPr>
          <w:rFonts w:ascii="Marianne" w:hAnsi="Marianne"/>
          <w:sz w:val="18"/>
          <w:szCs w:val="20"/>
        </w:rPr>
        <w:t xml:space="preserve"> </w:t>
      </w:r>
      <w:r w:rsidR="002A0CB3">
        <w:rPr>
          <w:rFonts w:ascii="Marianne" w:hAnsi="Marianne"/>
          <w:sz w:val="18"/>
          <w:szCs w:val="20"/>
        </w:rPr>
        <w:t>Concernant le centre de ressources, le MTE confirme</w:t>
      </w:r>
      <w:r w:rsidR="002A0CB3" w:rsidRPr="008E6BE7">
        <w:rPr>
          <w:rFonts w:ascii="Marianne" w:hAnsi="Marianne"/>
          <w:sz w:val="18"/>
          <w:szCs w:val="20"/>
        </w:rPr>
        <w:t xml:space="preserve"> que l’idée est intéressante mais l’effort est actuellement mis sur le guide, prioritaire, le MTE n’ayant pas la capacité de mener ces travaux de front. L’AEAG mentionne l’existence d’une plateforme centra</w:t>
      </w:r>
      <w:r w:rsidR="00BD253D">
        <w:rPr>
          <w:rFonts w:ascii="Marianne" w:hAnsi="Marianne"/>
          <w:sz w:val="18"/>
          <w:szCs w:val="20"/>
        </w:rPr>
        <w:t xml:space="preserve">lisatrice / </w:t>
      </w:r>
      <w:r w:rsidR="00BD253D">
        <w:rPr>
          <w:rFonts w:ascii="Marianne" w:hAnsi="Marianne"/>
          <w:sz w:val="18"/>
          <w:szCs w:val="20"/>
        </w:rPr>
        <w:lastRenderedPageBreak/>
        <w:t xml:space="preserve">centre de ressources </w:t>
      </w:r>
      <w:r w:rsidR="002A0CB3" w:rsidRPr="008E6BE7">
        <w:rPr>
          <w:rFonts w:ascii="Marianne" w:hAnsi="Marianne"/>
          <w:sz w:val="18"/>
          <w:szCs w:val="20"/>
        </w:rPr>
        <w:t>à l’échelle de son territoire (en partenariat avec les Région</w:t>
      </w:r>
      <w:r w:rsidR="00BD253D">
        <w:rPr>
          <w:rFonts w:ascii="Marianne" w:hAnsi="Marianne"/>
          <w:sz w:val="18"/>
          <w:szCs w:val="20"/>
        </w:rPr>
        <w:t xml:space="preserve">s). Il pourrait être étudié la possibilité d’une </w:t>
      </w:r>
      <w:r w:rsidR="002A0CB3" w:rsidRPr="008E6BE7">
        <w:rPr>
          <w:rFonts w:ascii="Marianne" w:hAnsi="Marianne"/>
          <w:sz w:val="18"/>
          <w:szCs w:val="20"/>
        </w:rPr>
        <w:t>mutualisation évitant ainsi de démultiplier les plateformes. Le MTE prend acte de cette possibilité.</w:t>
      </w:r>
    </w:p>
    <w:p w14:paraId="4B8A32B6" w14:textId="7CDA22D0" w:rsidR="00BD253D" w:rsidRDefault="00D30EB1" w:rsidP="00BD253D">
      <w:pPr>
        <w:jc w:val="both"/>
        <w:rPr>
          <w:rFonts w:ascii="Marianne" w:hAnsi="Marianne"/>
          <w:sz w:val="18"/>
          <w:szCs w:val="20"/>
        </w:rPr>
      </w:pPr>
      <w:r>
        <w:rPr>
          <w:rFonts w:ascii="Marianne" w:hAnsi="Marianne"/>
          <w:sz w:val="18"/>
          <w:szCs w:val="20"/>
        </w:rPr>
        <w:t xml:space="preserve">La délégation de bassin Adour Garonne souhaite que soit précisé </w:t>
      </w:r>
      <w:r w:rsidR="00D505C0" w:rsidRPr="00D30EB1">
        <w:rPr>
          <w:rFonts w:ascii="Marianne" w:hAnsi="Marianne"/>
          <w:sz w:val="18"/>
          <w:szCs w:val="20"/>
        </w:rPr>
        <w:t>clairement le rôle de chaque instance (et acteur) à chaque étape afin d'anticiper les difficultés (qui peuvent différer selon les étapes) et prévoir des bilans/rex par phase</w:t>
      </w:r>
      <w:r>
        <w:rPr>
          <w:rFonts w:ascii="Marianne" w:hAnsi="Marianne"/>
          <w:sz w:val="18"/>
          <w:szCs w:val="20"/>
        </w:rPr>
        <w:t xml:space="preserve">. Sur la phase de diagnostic, elle indique qu’il ne faut pas </w:t>
      </w:r>
      <w:r w:rsidR="00D505C0" w:rsidRPr="00D30EB1">
        <w:rPr>
          <w:rFonts w:ascii="Marianne" w:hAnsi="Marianne"/>
          <w:sz w:val="18"/>
          <w:szCs w:val="20"/>
        </w:rPr>
        <w:t>se fermer le</w:t>
      </w:r>
      <w:r>
        <w:rPr>
          <w:rFonts w:ascii="Marianne" w:hAnsi="Marianne"/>
          <w:sz w:val="18"/>
          <w:szCs w:val="20"/>
        </w:rPr>
        <w:t>s portes sur les méthodes (ex pour le diagnostic: livre blanc</w:t>
      </w:r>
      <w:r w:rsidR="00D505C0" w:rsidRPr="00D30EB1">
        <w:rPr>
          <w:rFonts w:ascii="Marianne" w:hAnsi="Marianne"/>
          <w:sz w:val="18"/>
          <w:szCs w:val="20"/>
        </w:rPr>
        <w:t xml:space="preserve">, diagnostic </w:t>
      </w:r>
      <w:r>
        <w:rPr>
          <w:rFonts w:ascii="Marianne" w:hAnsi="Marianne"/>
          <w:sz w:val="18"/>
          <w:szCs w:val="20"/>
        </w:rPr>
        <w:t>a</w:t>
      </w:r>
      <w:r w:rsidR="00D505C0" w:rsidRPr="00D30EB1">
        <w:rPr>
          <w:rFonts w:ascii="Marianne" w:hAnsi="Marianne"/>
          <w:sz w:val="18"/>
          <w:szCs w:val="20"/>
        </w:rPr>
        <w:t>graire, guide INRAe)</w:t>
      </w:r>
      <w:r>
        <w:rPr>
          <w:rFonts w:ascii="Marianne" w:hAnsi="Marianne"/>
          <w:sz w:val="18"/>
          <w:szCs w:val="20"/>
        </w:rPr>
        <w:t xml:space="preserve">. Concernant la mise en œuvre d’un PTGE, le fait de de disposer de </w:t>
      </w:r>
      <w:r w:rsidR="00D505C0" w:rsidRPr="00D30EB1">
        <w:rPr>
          <w:rFonts w:ascii="Marianne" w:hAnsi="Marianne"/>
          <w:sz w:val="18"/>
          <w:szCs w:val="20"/>
        </w:rPr>
        <w:t xml:space="preserve">modalités de financement adaptées </w:t>
      </w:r>
      <w:r>
        <w:rPr>
          <w:rFonts w:ascii="Marianne" w:hAnsi="Marianne"/>
          <w:sz w:val="18"/>
          <w:szCs w:val="20"/>
        </w:rPr>
        <w:t xml:space="preserve">et </w:t>
      </w:r>
      <w:r w:rsidR="00D505C0" w:rsidRPr="00D30EB1">
        <w:rPr>
          <w:rFonts w:ascii="Marianne" w:hAnsi="Marianne"/>
          <w:sz w:val="18"/>
          <w:szCs w:val="20"/>
        </w:rPr>
        <w:t xml:space="preserve">prévues à </w:t>
      </w:r>
      <w:r>
        <w:rPr>
          <w:rFonts w:ascii="Marianne" w:hAnsi="Marianne"/>
          <w:sz w:val="18"/>
          <w:szCs w:val="20"/>
        </w:rPr>
        <w:t>l'avance pou</w:t>
      </w:r>
      <w:r w:rsidR="0031113F">
        <w:rPr>
          <w:rFonts w:ascii="Marianne" w:hAnsi="Marianne"/>
          <w:sz w:val="18"/>
          <w:szCs w:val="20"/>
        </w:rPr>
        <w:t xml:space="preserve">r les projets, </w:t>
      </w:r>
      <w:r>
        <w:rPr>
          <w:rFonts w:ascii="Marianne" w:hAnsi="Marianne"/>
          <w:sz w:val="18"/>
          <w:szCs w:val="20"/>
        </w:rPr>
        <w:t>permet d’</w:t>
      </w:r>
      <w:r w:rsidR="00D505C0" w:rsidRPr="00D30EB1">
        <w:rPr>
          <w:rFonts w:ascii="Marianne" w:hAnsi="Marianne"/>
          <w:sz w:val="18"/>
          <w:szCs w:val="20"/>
        </w:rPr>
        <w:t>éviter en fin de parcours de décourager les acteurs en n'ayant pas assez</w:t>
      </w:r>
      <w:r w:rsidR="00D505C0" w:rsidRPr="00D30EB1">
        <w:rPr>
          <w:rFonts w:ascii="Marianne" w:hAnsi="Marianne"/>
          <w:sz w:val="18"/>
          <w:szCs w:val="20"/>
        </w:rPr>
        <w:br/>
        <w:t>pris en compte</w:t>
      </w:r>
      <w:r w:rsidR="00D505C0" w:rsidRPr="00D30EB1">
        <w:rPr>
          <w:rFonts w:ascii="Calibri" w:hAnsi="Calibri" w:cs="Calibri"/>
          <w:sz w:val="18"/>
          <w:szCs w:val="20"/>
        </w:rPr>
        <w:t> </w:t>
      </w:r>
      <w:r w:rsidR="00D505C0" w:rsidRPr="00D30EB1">
        <w:rPr>
          <w:rFonts w:ascii="Marianne" w:hAnsi="Marianne"/>
          <w:sz w:val="18"/>
          <w:szCs w:val="20"/>
        </w:rPr>
        <w:t xml:space="preserve"> cet aspect </w:t>
      </w:r>
      <w:r>
        <w:rPr>
          <w:rFonts w:ascii="Marianne" w:hAnsi="Marianne"/>
          <w:sz w:val="18"/>
          <w:szCs w:val="20"/>
        </w:rPr>
        <w:t xml:space="preserve">financier, </w:t>
      </w:r>
      <w:r w:rsidR="00D505C0" w:rsidRPr="00D30EB1">
        <w:rPr>
          <w:rFonts w:ascii="Marianne" w:hAnsi="Marianne"/>
          <w:sz w:val="18"/>
          <w:szCs w:val="20"/>
        </w:rPr>
        <w:t>qui conditionne beaucoup les ré</w:t>
      </w:r>
      <w:r>
        <w:rPr>
          <w:rFonts w:ascii="Marianne" w:hAnsi="Marianne"/>
          <w:sz w:val="18"/>
          <w:szCs w:val="20"/>
        </w:rPr>
        <w:t xml:space="preserve">alisations. Par ailleurs, une </w:t>
      </w:r>
      <w:r w:rsidR="00D505C0" w:rsidRPr="00D30EB1">
        <w:rPr>
          <w:rFonts w:ascii="Marianne" w:hAnsi="Marianne"/>
          <w:sz w:val="18"/>
          <w:szCs w:val="20"/>
        </w:rPr>
        <w:t xml:space="preserve">animation suffisante </w:t>
      </w:r>
      <w:r>
        <w:rPr>
          <w:rFonts w:ascii="Marianne" w:hAnsi="Marianne"/>
          <w:sz w:val="18"/>
          <w:szCs w:val="20"/>
        </w:rPr>
        <w:t xml:space="preserve">est nécessaire </w:t>
      </w:r>
      <w:r w:rsidR="00D505C0" w:rsidRPr="00D30EB1">
        <w:rPr>
          <w:rFonts w:ascii="Marianne" w:hAnsi="Marianne"/>
          <w:sz w:val="18"/>
          <w:szCs w:val="20"/>
        </w:rPr>
        <w:t>pour qu</w:t>
      </w:r>
      <w:r w:rsidR="00BD253D">
        <w:rPr>
          <w:rFonts w:ascii="Marianne" w:hAnsi="Marianne"/>
          <w:sz w:val="18"/>
          <w:szCs w:val="20"/>
        </w:rPr>
        <w:t>e les actions se fassent en lien avec</w:t>
      </w:r>
      <w:r w:rsidR="00D505C0" w:rsidRPr="00D30EB1">
        <w:rPr>
          <w:rFonts w:ascii="Marianne" w:hAnsi="Marianne"/>
          <w:sz w:val="18"/>
          <w:szCs w:val="20"/>
        </w:rPr>
        <w:t xml:space="preserve"> des acteurs per</w:t>
      </w:r>
      <w:r w:rsidR="00BD253D">
        <w:rPr>
          <w:rFonts w:ascii="Marianne" w:hAnsi="Marianne"/>
          <w:sz w:val="18"/>
          <w:szCs w:val="20"/>
        </w:rPr>
        <w:t xml:space="preserve">tinents sur le terrain et pour appuyer le portage des actions qui ont été programmées. </w:t>
      </w:r>
    </w:p>
    <w:p w14:paraId="056E3FC8" w14:textId="094C3497" w:rsidR="00970028" w:rsidRPr="00BD253D" w:rsidRDefault="002A0CB3" w:rsidP="00BD253D">
      <w:pPr>
        <w:jc w:val="both"/>
        <w:rPr>
          <w:rFonts w:ascii="Marianne" w:hAnsi="Marianne"/>
          <w:sz w:val="18"/>
          <w:szCs w:val="20"/>
        </w:rPr>
      </w:pPr>
      <w:r w:rsidRPr="00BD253D">
        <w:rPr>
          <w:rFonts w:ascii="Marianne" w:hAnsi="Marianne"/>
          <w:sz w:val="18"/>
          <w:szCs w:val="20"/>
        </w:rPr>
        <w:t>Dans l’ensemble, l</w:t>
      </w:r>
      <w:r w:rsidR="00970028" w:rsidRPr="00BD253D">
        <w:rPr>
          <w:rFonts w:ascii="Marianne" w:hAnsi="Marianne"/>
          <w:sz w:val="18"/>
          <w:szCs w:val="20"/>
        </w:rPr>
        <w:t>es participants soulignent leur forte attente sur l</w:t>
      </w:r>
      <w:r w:rsidR="0018216B" w:rsidRPr="00BD253D">
        <w:rPr>
          <w:rFonts w:ascii="Marianne" w:hAnsi="Marianne"/>
          <w:sz w:val="18"/>
          <w:szCs w:val="20"/>
        </w:rPr>
        <w:t xml:space="preserve">e contenu du guide </w:t>
      </w:r>
      <w:r w:rsidR="00727381" w:rsidRPr="00BD253D">
        <w:rPr>
          <w:rFonts w:ascii="Marianne" w:hAnsi="Marianne"/>
          <w:sz w:val="18"/>
          <w:szCs w:val="20"/>
        </w:rPr>
        <w:t>en termes de</w:t>
      </w:r>
      <w:r w:rsidR="0018216B" w:rsidRPr="00BD253D">
        <w:rPr>
          <w:rFonts w:ascii="Marianne" w:hAnsi="Marianne"/>
          <w:sz w:val="18"/>
          <w:szCs w:val="20"/>
        </w:rPr>
        <w:t xml:space="preserve"> retours d’expérience. </w:t>
      </w:r>
    </w:p>
    <w:p w14:paraId="1CF05A97" w14:textId="5B49A893" w:rsidR="000F15E8" w:rsidRDefault="00AD6782" w:rsidP="00025129">
      <w:pPr>
        <w:jc w:val="both"/>
        <w:rPr>
          <w:rFonts w:ascii="Marianne" w:hAnsi="Marianne"/>
          <w:sz w:val="18"/>
          <w:szCs w:val="20"/>
          <w:u w:val="single"/>
        </w:rPr>
      </w:pPr>
      <w:r w:rsidRPr="008E6BE7">
        <w:rPr>
          <w:rFonts w:ascii="Marianne" w:hAnsi="Marianne"/>
          <w:sz w:val="18"/>
          <w:szCs w:val="20"/>
          <w:u w:val="single"/>
        </w:rPr>
        <w:t>3</w:t>
      </w:r>
      <w:r w:rsidR="000F15E8" w:rsidRPr="008E6BE7">
        <w:rPr>
          <w:rFonts w:ascii="Marianne" w:hAnsi="Marianne"/>
          <w:sz w:val="18"/>
          <w:szCs w:val="20"/>
          <w:u w:val="single"/>
        </w:rPr>
        <w:t>)</w:t>
      </w:r>
      <w:r w:rsidR="00A6624D" w:rsidRPr="008E6BE7">
        <w:rPr>
          <w:rFonts w:ascii="Marianne" w:hAnsi="Marianne"/>
          <w:sz w:val="18"/>
          <w:szCs w:val="20"/>
          <w:u w:val="single"/>
        </w:rPr>
        <w:t>b) Remarque</w:t>
      </w:r>
      <w:r w:rsidR="00C07B31" w:rsidRPr="008E6BE7">
        <w:rPr>
          <w:rFonts w:ascii="Marianne" w:hAnsi="Marianne"/>
          <w:sz w:val="18"/>
          <w:szCs w:val="20"/>
          <w:u w:val="single"/>
        </w:rPr>
        <w:t>s</w:t>
      </w:r>
      <w:r w:rsidR="00023692">
        <w:rPr>
          <w:rFonts w:ascii="Marianne" w:hAnsi="Marianne"/>
          <w:sz w:val="18"/>
          <w:szCs w:val="20"/>
          <w:u w:val="single"/>
        </w:rPr>
        <w:t xml:space="preserve"> sur le plan, </w:t>
      </w:r>
      <w:r w:rsidR="00C07B31" w:rsidRPr="008E6BE7">
        <w:rPr>
          <w:rFonts w:ascii="Marianne" w:hAnsi="Marianne"/>
          <w:sz w:val="18"/>
          <w:szCs w:val="20"/>
          <w:u w:val="single"/>
        </w:rPr>
        <w:t>le</w:t>
      </w:r>
      <w:r w:rsidR="00A6624D" w:rsidRPr="008E6BE7">
        <w:rPr>
          <w:rFonts w:ascii="Marianne" w:hAnsi="Marianne"/>
          <w:sz w:val="18"/>
          <w:szCs w:val="20"/>
          <w:u w:val="single"/>
        </w:rPr>
        <w:t xml:space="preserve"> contenu des différentes parties</w:t>
      </w:r>
      <w:r w:rsidR="00023692">
        <w:rPr>
          <w:rFonts w:ascii="Marianne" w:hAnsi="Marianne"/>
          <w:sz w:val="18"/>
          <w:szCs w:val="20"/>
          <w:u w:val="single"/>
        </w:rPr>
        <w:t xml:space="preserve"> et les annexes </w:t>
      </w:r>
    </w:p>
    <w:p w14:paraId="21757677" w14:textId="16D88FD7" w:rsidR="008E6BE7" w:rsidRPr="008E6BE7" w:rsidRDefault="002A0CB3" w:rsidP="00025129">
      <w:pPr>
        <w:jc w:val="both"/>
        <w:rPr>
          <w:rFonts w:ascii="Marianne" w:hAnsi="Marianne" w:cs="Calibri"/>
          <w:sz w:val="18"/>
          <w:szCs w:val="20"/>
        </w:rPr>
      </w:pPr>
      <w:r>
        <w:rPr>
          <w:rFonts w:ascii="Marianne" w:hAnsi="Marianne" w:cs="Calibri"/>
          <w:sz w:val="18"/>
          <w:szCs w:val="20"/>
        </w:rPr>
        <w:t>Le plan et contenu des différentes parties</w:t>
      </w:r>
      <w:r w:rsidR="008E6BE7">
        <w:rPr>
          <w:rFonts w:ascii="Marianne" w:hAnsi="Marianne" w:cs="Calibri"/>
          <w:sz w:val="18"/>
          <w:szCs w:val="20"/>
        </w:rPr>
        <w:t xml:space="preserve"> </w:t>
      </w:r>
      <w:r w:rsidR="00656CA6">
        <w:rPr>
          <w:rFonts w:ascii="Marianne" w:hAnsi="Marianne" w:cs="Calibri"/>
          <w:sz w:val="18"/>
          <w:szCs w:val="20"/>
        </w:rPr>
        <w:t xml:space="preserve">du guide </w:t>
      </w:r>
      <w:r w:rsidR="008E6BE7">
        <w:rPr>
          <w:rFonts w:ascii="Marianne" w:hAnsi="Marianne" w:cs="Calibri"/>
          <w:sz w:val="18"/>
          <w:szCs w:val="20"/>
        </w:rPr>
        <w:t>s’</w:t>
      </w:r>
      <w:r w:rsidR="00656CA6">
        <w:rPr>
          <w:rFonts w:ascii="Marianne" w:hAnsi="Marianne" w:cs="Calibri"/>
          <w:sz w:val="18"/>
          <w:szCs w:val="20"/>
        </w:rPr>
        <w:t xml:space="preserve">appuie sur des </w:t>
      </w:r>
      <w:r w:rsidR="008E6BE7" w:rsidRPr="008E6BE7">
        <w:rPr>
          <w:rFonts w:ascii="Marianne" w:hAnsi="Marianne" w:cs="Calibri"/>
          <w:sz w:val="18"/>
          <w:szCs w:val="20"/>
        </w:rPr>
        <w:t>éléments</w:t>
      </w:r>
      <w:r w:rsidR="00656CA6">
        <w:rPr>
          <w:rFonts w:ascii="Marianne" w:hAnsi="Marianne" w:cs="Calibri"/>
          <w:sz w:val="18"/>
          <w:szCs w:val="20"/>
        </w:rPr>
        <w:t xml:space="preserve"> de cadrage préalables identifiés par la mission d’inspection PTGE</w:t>
      </w:r>
      <w:r w:rsidR="008E6BE7" w:rsidRPr="008E6BE7">
        <w:rPr>
          <w:rFonts w:ascii="Marianne" w:hAnsi="Marianne" w:cs="Calibri"/>
          <w:sz w:val="18"/>
          <w:szCs w:val="20"/>
        </w:rPr>
        <w:t xml:space="preserve">. </w:t>
      </w:r>
      <w:r w:rsidR="008E6BE7">
        <w:rPr>
          <w:rFonts w:ascii="Marianne" w:hAnsi="Marianne" w:cs="Calibri"/>
          <w:sz w:val="18"/>
          <w:szCs w:val="20"/>
        </w:rPr>
        <w:t xml:space="preserve">Le MTE présente le plan </w:t>
      </w:r>
      <w:r w:rsidR="00656CA6">
        <w:rPr>
          <w:rFonts w:ascii="Marianne" w:hAnsi="Marianne" w:cs="Calibri"/>
          <w:sz w:val="18"/>
          <w:szCs w:val="20"/>
        </w:rPr>
        <w:t xml:space="preserve">proposé, insiste sur l’importance de la gouvernance, de l’état </w:t>
      </w:r>
      <w:r w:rsidR="008E6BE7">
        <w:rPr>
          <w:rFonts w:ascii="Marianne" w:hAnsi="Marianne" w:cs="Calibri"/>
          <w:sz w:val="18"/>
          <w:szCs w:val="20"/>
        </w:rPr>
        <w:t xml:space="preserve">des lieux </w:t>
      </w:r>
      <w:r w:rsidR="008E6BE7" w:rsidRPr="00656CA6">
        <w:rPr>
          <w:rFonts w:ascii="Marianne" w:hAnsi="Marianne" w:cs="Calibri"/>
          <w:sz w:val="18"/>
          <w:szCs w:val="20"/>
          <w:u w:val="single"/>
        </w:rPr>
        <w:t>prospectif</w:t>
      </w:r>
      <w:r w:rsidR="008E6BE7">
        <w:rPr>
          <w:rFonts w:ascii="Marianne" w:hAnsi="Marianne" w:cs="Calibri"/>
          <w:sz w:val="18"/>
          <w:szCs w:val="20"/>
        </w:rPr>
        <w:t xml:space="preserve"> et d</w:t>
      </w:r>
      <w:r w:rsidR="008E6BE7" w:rsidRPr="008E6BE7">
        <w:rPr>
          <w:rFonts w:ascii="Marianne" w:hAnsi="Marianne" w:cs="Calibri"/>
          <w:sz w:val="18"/>
          <w:szCs w:val="20"/>
        </w:rPr>
        <w:t>es indicateurs de suivi</w:t>
      </w:r>
      <w:r w:rsidR="00656CA6">
        <w:rPr>
          <w:rFonts w:ascii="Marianne" w:hAnsi="Marianne" w:cs="Calibri"/>
          <w:sz w:val="18"/>
          <w:szCs w:val="20"/>
        </w:rPr>
        <w:t xml:space="preserve"> et d’avancement de la démarche</w:t>
      </w:r>
      <w:r w:rsidR="008E6BE7" w:rsidRPr="008E6BE7">
        <w:rPr>
          <w:rFonts w:ascii="Marianne" w:hAnsi="Marianne" w:cs="Calibri"/>
          <w:sz w:val="18"/>
          <w:szCs w:val="20"/>
        </w:rPr>
        <w:t xml:space="preserve">.  </w:t>
      </w:r>
    </w:p>
    <w:p w14:paraId="639EEC70" w14:textId="5C38BAE6" w:rsidR="004601F3" w:rsidRDefault="00656CA6" w:rsidP="00025129">
      <w:pPr>
        <w:jc w:val="both"/>
        <w:rPr>
          <w:rFonts w:ascii="Marianne" w:hAnsi="Marianne"/>
          <w:sz w:val="18"/>
          <w:szCs w:val="20"/>
        </w:rPr>
      </w:pPr>
      <w:r>
        <w:rPr>
          <w:rFonts w:ascii="Marianne" w:hAnsi="Marianne"/>
          <w:sz w:val="18"/>
          <w:szCs w:val="20"/>
        </w:rPr>
        <w:t xml:space="preserve">Certains participants </w:t>
      </w:r>
      <w:r w:rsidR="004B0B4C" w:rsidRPr="008E6BE7">
        <w:rPr>
          <w:rFonts w:ascii="Marianne" w:hAnsi="Marianne"/>
          <w:sz w:val="18"/>
          <w:szCs w:val="20"/>
        </w:rPr>
        <w:t xml:space="preserve">signalent que </w:t>
      </w:r>
      <w:r w:rsidR="00191119" w:rsidRPr="008E6BE7">
        <w:rPr>
          <w:rFonts w:ascii="Marianne" w:hAnsi="Marianne"/>
          <w:sz w:val="18"/>
          <w:szCs w:val="20"/>
        </w:rPr>
        <w:t>pour un guide</w:t>
      </w:r>
      <w:r w:rsidR="001A717E" w:rsidRPr="008E6BE7">
        <w:rPr>
          <w:rFonts w:ascii="Marianne" w:hAnsi="Marianne"/>
          <w:sz w:val="18"/>
          <w:szCs w:val="20"/>
        </w:rPr>
        <w:t xml:space="preserve"> s’adress</w:t>
      </w:r>
      <w:r w:rsidR="00191119" w:rsidRPr="008E6BE7">
        <w:rPr>
          <w:rFonts w:ascii="Marianne" w:hAnsi="Marianne"/>
          <w:sz w:val="18"/>
          <w:szCs w:val="20"/>
        </w:rPr>
        <w:t>ant</w:t>
      </w:r>
      <w:r w:rsidR="001A717E" w:rsidRPr="008E6BE7">
        <w:rPr>
          <w:rFonts w:ascii="Marianne" w:hAnsi="Marianne"/>
          <w:sz w:val="18"/>
          <w:szCs w:val="20"/>
        </w:rPr>
        <w:t xml:space="preserve"> aux porteurs de PTGE, l</w:t>
      </w:r>
      <w:r w:rsidR="00417ACE" w:rsidRPr="008E6BE7">
        <w:rPr>
          <w:rFonts w:ascii="Marianne" w:hAnsi="Marianne"/>
          <w:sz w:val="18"/>
          <w:szCs w:val="20"/>
        </w:rPr>
        <w:t>es</w:t>
      </w:r>
      <w:r w:rsidR="001A717E" w:rsidRPr="008E6BE7">
        <w:rPr>
          <w:rFonts w:ascii="Marianne" w:hAnsi="Marianne"/>
          <w:sz w:val="18"/>
          <w:szCs w:val="20"/>
        </w:rPr>
        <w:t xml:space="preserve"> partie</w:t>
      </w:r>
      <w:r w:rsidR="00417ACE" w:rsidRPr="008E6BE7">
        <w:rPr>
          <w:rFonts w:ascii="Marianne" w:hAnsi="Marianne"/>
          <w:sz w:val="18"/>
          <w:szCs w:val="20"/>
        </w:rPr>
        <w:t>s</w:t>
      </w:r>
      <w:r w:rsidR="001A717E" w:rsidRPr="008E6BE7">
        <w:rPr>
          <w:rFonts w:ascii="Marianne" w:hAnsi="Marianne"/>
          <w:sz w:val="18"/>
          <w:szCs w:val="20"/>
        </w:rPr>
        <w:t xml:space="preserve"> </w:t>
      </w:r>
      <w:r w:rsidR="00912084" w:rsidRPr="008E6BE7">
        <w:rPr>
          <w:rFonts w:ascii="Marianne" w:hAnsi="Marianne"/>
          <w:sz w:val="18"/>
          <w:szCs w:val="20"/>
        </w:rPr>
        <w:t xml:space="preserve">I.1.a. </w:t>
      </w:r>
      <w:r w:rsidR="00C25C39" w:rsidRPr="008E6BE7">
        <w:rPr>
          <w:rFonts w:ascii="Marianne" w:hAnsi="Marianne"/>
          <w:sz w:val="18"/>
          <w:szCs w:val="20"/>
        </w:rPr>
        <w:t xml:space="preserve">(Définir les cercles de gouvernance) </w:t>
      </w:r>
      <w:r w:rsidR="00912084" w:rsidRPr="008E6BE7">
        <w:rPr>
          <w:rFonts w:ascii="Marianne" w:hAnsi="Marianne"/>
          <w:sz w:val="18"/>
          <w:szCs w:val="20"/>
        </w:rPr>
        <w:t>et I.1.b</w:t>
      </w:r>
      <w:r w:rsidR="00C25C39" w:rsidRPr="008E6BE7">
        <w:rPr>
          <w:rFonts w:ascii="Marianne" w:hAnsi="Marianne"/>
          <w:sz w:val="18"/>
          <w:szCs w:val="20"/>
        </w:rPr>
        <w:t xml:space="preserve"> (Identifier le/les porteurs de projet)</w:t>
      </w:r>
      <w:r w:rsidR="00912084" w:rsidRPr="008E6BE7">
        <w:rPr>
          <w:rFonts w:ascii="Marianne" w:hAnsi="Marianne"/>
          <w:sz w:val="18"/>
          <w:szCs w:val="20"/>
        </w:rPr>
        <w:t xml:space="preserve"> </w:t>
      </w:r>
      <w:r w:rsidR="00BD253D">
        <w:rPr>
          <w:rFonts w:ascii="Marianne" w:hAnsi="Marianne"/>
          <w:sz w:val="18"/>
          <w:szCs w:val="20"/>
        </w:rPr>
        <w:t xml:space="preserve">ne sont pas bien </w:t>
      </w:r>
      <w:r w:rsidR="004B0B4C" w:rsidRPr="008E6BE7">
        <w:rPr>
          <w:rFonts w:ascii="Marianne" w:hAnsi="Marianne"/>
          <w:sz w:val="18"/>
          <w:szCs w:val="20"/>
        </w:rPr>
        <w:t>placée</w:t>
      </w:r>
      <w:r w:rsidR="00C25C39" w:rsidRPr="008E6BE7">
        <w:rPr>
          <w:rFonts w:ascii="Marianne" w:hAnsi="Marianne"/>
          <w:sz w:val="18"/>
          <w:szCs w:val="20"/>
        </w:rPr>
        <w:t>s</w:t>
      </w:r>
      <w:r>
        <w:rPr>
          <w:rFonts w:ascii="Calibri" w:hAnsi="Calibri" w:cs="Calibri"/>
          <w:sz w:val="18"/>
          <w:szCs w:val="20"/>
        </w:rPr>
        <w:t xml:space="preserve"> ; il </w:t>
      </w:r>
      <w:r w:rsidR="0070592D" w:rsidRPr="008E6BE7">
        <w:rPr>
          <w:rFonts w:ascii="Marianne" w:hAnsi="Marianne"/>
          <w:sz w:val="18"/>
          <w:szCs w:val="20"/>
        </w:rPr>
        <w:t xml:space="preserve">s’agirait </w:t>
      </w:r>
      <w:r w:rsidR="008146B9" w:rsidRPr="008E6BE7">
        <w:rPr>
          <w:rFonts w:ascii="Marianne" w:hAnsi="Marianne"/>
          <w:sz w:val="18"/>
          <w:szCs w:val="20"/>
        </w:rPr>
        <w:t>plutôt de les insérer en tant q</w:t>
      </w:r>
      <w:r>
        <w:rPr>
          <w:rFonts w:ascii="Marianne" w:hAnsi="Marianne"/>
          <w:sz w:val="18"/>
          <w:szCs w:val="20"/>
        </w:rPr>
        <w:t xml:space="preserve">u’élément introductif du guide ou </w:t>
      </w:r>
      <w:r w:rsidR="0031113F">
        <w:rPr>
          <w:rFonts w:ascii="Marianne" w:hAnsi="Marianne"/>
          <w:sz w:val="18"/>
          <w:szCs w:val="20"/>
        </w:rPr>
        <w:t>prérequis</w:t>
      </w:r>
      <w:r>
        <w:rPr>
          <w:rFonts w:ascii="Marianne" w:hAnsi="Marianne"/>
          <w:sz w:val="18"/>
          <w:szCs w:val="20"/>
        </w:rPr>
        <w:t xml:space="preserve"> de la démarche. </w:t>
      </w:r>
    </w:p>
    <w:p w14:paraId="7B58A133" w14:textId="0798548C" w:rsidR="00970028" w:rsidRPr="00445CFD" w:rsidRDefault="00656CA6" w:rsidP="00025129">
      <w:pPr>
        <w:jc w:val="both"/>
        <w:rPr>
          <w:rFonts w:ascii="Marianne" w:hAnsi="Marianne"/>
          <w:sz w:val="18"/>
          <w:szCs w:val="18"/>
        </w:rPr>
      </w:pPr>
      <w:r>
        <w:rPr>
          <w:rFonts w:ascii="Marianne" w:hAnsi="Marianne"/>
          <w:sz w:val="18"/>
          <w:szCs w:val="20"/>
        </w:rPr>
        <w:t xml:space="preserve">L’institution Adour demande </w:t>
      </w:r>
      <w:r w:rsidR="00970028" w:rsidRPr="008E6BE7">
        <w:rPr>
          <w:rFonts w:ascii="Marianne" w:hAnsi="Marianne"/>
          <w:sz w:val="18"/>
          <w:szCs w:val="20"/>
        </w:rPr>
        <w:t xml:space="preserve">à ce que le guide aborde la </w:t>
      </w:r>
      <w:r w:rsidR="00380269" w:rsidRPr="008E6BE7">
        <w:rPr>
          <w:rFonts w:ascii="Marianne" w:hAnsi="Marianne"/>
          <w:sz w:val="18"/>
          <w:szCs w:val="20"/>
        </w:rPr>
        <w:t>place et le rôle des</w:t>
      </w:r>
      <w:r w:rsidR="00970028" w:rsidRPr="008E6BE7">
        <w:rPr>
          <w:rFonts w:ascii="Marianne" w:hAnsi="Marianne"/>
          <w:sz w:val="18"/>
          <w:szCs w:val="20"/>
        </w:rPr>
        <w:t xml:space="preserve"> «</w:t>
      </w:r>
      <w:r w:rsidR="00970028" w:rsidRPr="008E6BE7">
        <w:rPr>
          <w:rFonts w:ascii="Calibri" w:hAnsi="Calibri" w:cs="Calibri"/>
          <w:sz w:val="18"/>
          <w:szCs w:val="20"/>
        </w:rPr>
        <w:t> </w:t>
      </w:r>
      <w:r w:rsidR="00970028" w:rsidRPr="008E6BE7">
        <w:rPr>
          <w:rFonts w:ascii="Marianne" w:hAnsi="Marianne"/>
          <w:sz w:val="18"/>
          <w:szCs w:val="20"/>
        </w:rPr>
        <w:t>garants de la concertation</w:t>
      </w:r>
      <w:r w:rsidR="00970028" w:rsidRPr="008E6BE7">
        <w:rPr>
          <w:rFonts w:ascii="Calibri" w:hAnsi="Calibri" w:cs="Calibri"/>
          <w:sz w:val="18"/>
          <w:szCs w:val="20"/>
        </w:rPr>
        <w:t> </w:t>
      </w:r>
      <w:r w:rsidR="00970028" w:rsidRPr="008E6BE7">
        <w:rPr>
          <w:rFonts w:ascii="Marianne" w:hAnsi="Marianne" w:cs="Marianne"/>
          <w:sz w:val="18"/>
          <w:szCs w:val="20"/>
        </w:rPr>
        <w:t>»</w:t>
      </w:r>
      <w:r w:rsidR="00970028" w:rsidRPr="008E6BE7">
        <w:rPr>
          <w:rFonts w:ascii="Marianne" w:hAnsi="Marianne"/>
          <w:sz w:val="18"/>
          <w:szCs w:val="20"/>
        </w:rPr>
        <w:t>. Certains retours d</w:t>
      </w:r>
      <w:r w:rsidR="00970028" w:rsidRPr="008E6BE7">
        <w:rPr>
          <w:rFonts w:ascii="Marianne" w:hAnsi="Marianne" w:cs="Marianne"/>
          <w:sz w:val="18"/>
          <w:szCs w:val="20"/>
        </w:rPr>
        <w:t>’</w:t>
      </w:r>
      <w:r w:rsidR="00970028" w:rsidRPr="008E6BE7">
        <w:rPr>
          <w:rFonts w:ascii="Marianne" w:hAnsi="Marianne"/>
          <w:sz w:val="18"/>
          <w:szCs w:val="20"/>
        </w:rPr>
        <w:t>exp</w:t>
      </w:r>
      <w:r w:rsidR="00970028" w:rsidRPr="008E6BE7">
        <w:rPr>
          <w:rFonts w:ascii="Marianne" w:hAnsi="Marianne" w:cs="Marianne"/>
          <w:sz w:val="18"/>
          <w:szCs w:val="20"/>
        </w:rPr>
        <w:t>é</w:t>
      </w:r>
      <w:r w:rsidR="00970028" w:rsidRPr="008E6BE7">
        <w:rPr>
          <w:rFonts w:ascii="Marianne" w:hAnsi="Marianne"/>
          <w:sz w:val="18"/>
          <w:szCs w:val="20"/>
        </w:rPr>
        <w:t xml:space="preserve">rience </w:t>
      </w:r>
      <w:r w:rsidR="00380269" w:rsidRPr="008E6BE7">
        <w:rPr>
          <w:rFonts w:ascii="Marianne" w:hAnsi="Marianne"/>
          <w:sz w:val="18"/>
          <w:szCs w:val="20"/>
        </w:rPr>
        <w:t>questionnent sur</w:t>
      </w:r>
      <w:r w:rsidR="00970028" w:rsidRPr="008E6BE7">
        <w:rPr>
          <w:rFonts w:ascii="Marianne" w:hAnsi="Marianne"/>
          <w:sz w:val="18"/>
          <w:szCs w:val="20"/>
        </w:rPr>
        <w:t xml:space="preserve"> l’accompagnement </w:t>
      </w:r>
      <w:r w:rsidR="00994BB2" w:rsidRPr="008E6BE7">
        <w:rPr>
          <w:rFonts w:ascii="Marianne" w:hAnsi="Marianne"/>
          <w:sz w:val="18"/>
          <w:szCs w:val="20"/>
        </w:rPr>
        <w:t>de</w:t>
      </w:r>
      <w:r>
        <w:rPr>
          <w:rFonts w:ascii="Marianne" w:hAnsi="Marianne"/>
          <w:sz w:val="18"/>
          <w:szCs w:val="20"/>
        </w:rPr>
        <w:t xml:space="preserve"> ces garants</w:t>
      </w:r>
      <w:r>
        <w:rPr>
          <w:rFonts w:ascii="Calibri" w:hAnsi="Calibri" w:cs="Calibri"/>
          <w:sz w:val="18"/>
          <w:szCs w:val="20"/>
        </w:rPr>
        <w:t> </w:t>
      </w:r>
      <w:r>
        <w:rPr>
          <w:rFonts w:ascii="Marianne" w:hAnsi="Marianne"/>
          <w:sz w:val="18"/>
          <w:szCs w:val="20"/>
        </w:rPr>
        <w:t xml:space="preserve">; il ne faut pas </w:t>
      </w:r>
      <w:r w:rsidR="00BD253D">
        <w:rPr>
          <w:rFonts w:ascii="Marianne" w:hAnsi="Marianne"/>
          <w:sz w:val="18"/>
          <w:szCs w:val="20"/>
        </w:rPr>
        <w:t xml:space="preserve">que les garants imposent la forme de la co-construction. </w:t>
      </w:r>
      <w:r w:rsidR="00445CFD" w:rsidRPr="008E6BE7">
        <w:rPr>
          <w:rFonts w:ascii="Marianne" w:hAnsi="Marianne"/>
          <w:sz w:val="18"/>
          <w:szCs w:val="18"/>
        </w:rPr>
        <w:t xml:space="preserve">Il est également demandé de prévoir </w:t>
      </w:r>
      <w:r w:rsidR="0031113F">
        <w:rPr>
          <w:rFonts w:ascii="Marianne" w:hAnsi="Marianne" w:cs="Calibri"/>
          <w:sz w:val="18"/>
          <w:szCs w:val="18"/>
        </w:rPr>
        <w:t xml:space="preserve">dans ce guide, la description du </w:t>
      </w:r>
      <w:r w:rsidR="00445CFD" w:rsidRPr="008E6BE7">
        <w:rPr>
          <w:rFonts w:ascii="Marianne" w:hAnsi="Marianne" w:cs="Calibri"/>
          <w:sz w:val="18"/>
          <w:szCs w:val="18"/>
        </w:rPr>
        <w:t>rôle de chaque instance à chaque étape du PTGE.</w:t>
      </w:r>
      <w:r w:rsidR="00023692">
        <w:rPr>
          <w:rFonts w:ascii="Marianne" w:hAnsi="Marianne" w:cs="Calibri"/>
          <w:sz w:val="18"/>
          <w:szCs w:val="18"/>
        </w:rPr>
        <w:t xml:space="preserve"> Un exemple de programme d’actions est également</w:t>
      </w:r>
      <w:r w:rsidR="0031113F">
        <w:rPr>
          <w:rFonts w:ascii="Marianne" w:hAnsi="Marianne" w:cs="Calibri"/>
          <w:sz w:val="18"/>
          <w:szCs w:val="18"/>
        </w:rPr>
        <w:t xml:space="preserve"> préconisé </w:t>
      </w:r>
      <w:r w:rsidR="00023692">
        <w:rPr>
          <w:rFonts w:ascii="Marianne" w:hAnsi="Marianne" w:cs="Calibri"/>
          <w:sz w:val="18"/>
          <w:szCs w:val="18"/>
        </w:rPr>
        <w:t xml:space="preserve">en annexe du guide. </w:t>
      </w:r>
    </w:p>
    <w:p w14:paraId="2856E65C" w14:textId="30BBB5FF" w:rsidR="0018216B" w:rsidRDefault="00023692" w:rsidP="00025129">
      <w:pPr>
        <w:jc w:val="both"/>
        <w:rPr>
          <w:rFonts w:ascii="Marianne" w:hAnsi="Marianne"/>
          <w:sz w:val="18"/>
          <w:szCs w:val="20"/>
        </w:rPr>
      </w:pPr>
      <w:r>
        <w:rPr>
          <w:rFonts w:ascii="Marianne" w:hAnsi="Marianne"/>
          <w:sz w:val="18"/>
          <w:szCs w:val="20"/>
        </w:rPr>
        <w:t>Pour FNE, d</w:t>
      </w:r>
      <w:r w:rsidR="0018216B" w:rsidRPr="008E6BE7">
        <w:rPr>
          <w:rFonts w:ascii="Marianne" w:hAnsi="Marianne"/>
          <w:sz w:val="18"/>
          <w:szCs w:val="20"/>
        </w:rPr>
        <w:t>ans la partie</w:t>
      </w:r>
      <w:r w:rsidR="00025129" w:rsidRPr="008E6BE7">
        <w:rPr>
          <w:rFonts w:ascii="Marianne" w:hAnsi="Marianne"/>
          <w:sz w:val="18"/>
          <w:szCs w:val="20"/>
        </w:rPr>
        <w:t xml:space="preserve"> II.</w:t>
      </w:r>
      <w:r w:rsidR="0018216B" w:rsidRPr="008E6BE7">
        <w:rPr>
          <w:rFonts w:ascii="Marianne" w:hAnsi="Marianne"/>
          <w:sz w:val="18"/>
          <w:szCs w:val="20"/>
        </w:rPr>
        <w:t xml:space="preserve"> </w:t>
      </w:r>
      <w:r w:rsidR="00B26031" w:rsidRPr="008E6BE7">
        <w:rPr>
          <w:rFonts w:ascii="Marianne" w:hAnsi="Marianne"/>
          <w:sz w:val="18"/>
          <w:szCs w:val="20"/>
        </w:rPr>
        <w:t>«</w:t>
      </w:r>
      <w:r w:rsidR="00B26031" w:rsidRPr="008E6BE7">
        <w:rPr>
          <w:rFonts w:ascii="Calibri" w:hAnsi="Calibri" w:cs="Calibri"/>
          <w:sz w:val="18"/>
          <w:szCs w:val="20"/>
        </w:rPr>
        <w:t> </w:t>
      </w:r>
      <w:r w:rsidR="00B26031" w:rsidRPr="008E6BE7">
        <w:rPr>
          <w:rFonts w:ascii="Marianne" w:hAnsi="Marianne"/>
          <w:sz w:val="18"/>
          <w:szCs w:val="20"/>
        </w:rPr>
        <w:t>Etat des lieux et diagnostic</w:t>
      </w:r>
      <w:r w:rsidR="00B26031" w:rsidRPr="008E6BE7">
        <w:rPr>
          <w:rFonts w:ascii="Calibri" w:hAnsi="Calibri" w:cs="Calibri"/>
          <w:sz w:val="18"/>
          <w:szCs w:val="20"/>
        </w:rPr>
        <w:t> </w:t>
      </w:r>
      <w:r w:rsidR="00B26031" w:rsidRPr="008E6BE7">
        <w:rPr>
          <w:rFonts w:ascii="Marianne" w:hAnsi="Marianne" w:cs="Marianne"/>
          <w:sz w:val="18"/>
          <w:szCs w:val="20"/>
        </w:rPr>
        <w:t>»</w:t>
      </w:r>
      <w:r w:rsidR="00B26031" w:rsidRPr="008E6BE7">
        <w:rPr>
          <w:rFonts w:ascii="Marianne" w:hAnsi="Marianne"/>
          <w:sz w:val="18"/>
          <w:szCs w:val="20"/>
        </w:rPr>
        <w:t>, les titres mettent le focus sur les besoins des usages</w:t>
      </w:r>
      <w:r w:rsidR="00025129" w:rsidRPr="008E6BE7">
        <w:rPr>
          <w:rFonts w:ascii="Marianne" w:hAnsi="Marianne"/>
          <w:sz w:val="18"/>
          <w:szCs w:val="20"/>
        </w:rPr>
        <w:t>. Il est demandé à ce que la prise en compte des besoins des milieux soit davantage lisible dans le plan et bien présent dans le contenu.</w:t>
      </w:r>
      <w:r w:rsidR="008E6BE7">
        <w:rPr>
          <w:rFonts w:ascii="Marianne" w:hAnsi="Marianne"/>
          <w:sz w:val="18"/>
          <w:szCs w:val="20"/>
        </w:rPr>
        <w:t xml:space="preserve"> </w:t>
      </w:r>
      <w:r w:rsidR="00566705">
        <w:rPr>
          <w:rFonts w:ascii="Marianne" w:hAnsi="Marianne"/>
          <w:sz w:val="18"/>
          <w:szCs w:val="20"/>
        </w:rPr>
        <w:t xml:space="preserve">Il est </w:t>
      </w:r>
      <w:r>
        <w:rPr>
          <w:rFonts w:ascii="Marianne" w:hAnsi="Marianne"/>
          <w:sz w:val="18"/>
          <w:szCs w:val="20"/>
        </w:rPr>
        <w:t xml:space="preserve">également </w:t>
      </w:r>
      <w:r w:rsidR="00566705">
        <w:rPr>
          <w:rFonts w:ascii="Marianne" w:hAnsi="Marianne"/>
          <w:sz w:val="18"/>
          <w:szCs w:val="20"/>
        </w:rPr>
        <w:t>rappelé par FNE que l</w:t>
      </w:r>
      <w:r w:rsidR="0031113F">
        <w:rPr>
          <w:rFonts w:ascii="Marianne" w:hAnsi="Marianne"/>
          <w:sz w:val="18"/>
          <w:szCs w:val="20"/>
        </w:rPr>
        <w:t xml:space="preserve">es économies d’eau doivent être décrites dès cette étape d’état des lieux et de diagnostic. </w:t>
      </w:r>
    </w:p>
    <w:p w14:paraId="042EE2E7" w14:textId="461D2887" w:rsidR="00023692" w:rsidRPr="008E6BE7" w:rsidRDefault="00023692" w:rsidP="00023692">
      <w:pPr>
        <w:jc w:val="both"/>
        <w:rPr>
          <w:rFonts w:ascii="Marianne" w:hAnsi="Marianne"/>
          <w:sz w:val="18"/>
          <w:szCs w:val="20"/>
        </w:rPr>
      </w:pPr>
      <w:r w:rsidRPr="008E6BE7">
        <w:rPr>
          <w:rFonts w:ascii="Marianne" w:hAnsi="Marianne"/>
          <w:sz w:val="18"/>
          <w:szCs w:val="20"/>
        </w:rPr>
        <w:t>Il est demandé par la FP2E si le guide peut être l’occasion d’aborder les solutions existant</w:t>
      </w:r>
      <w:r w:rsidR="0031113F">
        <w:rPr>
          <w:rFonts w:ascii="Marianne" w:hAnsi="Marianne"/>
          <w:sz w:val="18"/>
          <w:szCs w:val="20"/>
        </w:rPr>
        <w:t>es autour</w:t>
      </w:r>
      <w:r w:rsidRPr="008E6BE7">
        <w:rPr>
          <w:rFonts w:ascii="Marianne" w:hAnsi="Marianne"/>
          <w:sz w:val="18"/>
          <w:szCs w:val="20"/>
        </w:rPr>
        <w:t xml:space="preserve"> de la réutilisation des eaux usées. </w:t>
      </w:r>
      <w:r>
        <w:rPr>
          <w:rFonts w:ascii="Marianne" w:hAnsi="Marianne"/>
          <w:sz w:val="18"/>
          <w:szCs w:val="20"/>
        </w:rPr>
        <w:t>La demande est prise en compte</w:t>
      </w:r>
      <w:r>
        <w:rPr>
          <w:rFonts w:ascii="Calibri" w:hAnsi="Calibri" w:cs="Calibri"/>
          <w:sz w:val="18"/>
          <w:szCs w:val="20"/>
        </w:rPr>
        <w:t> </w:t>
      </w:r>
      <w:r>
        <w:rPr>
          <w:rFonts w:ascii="Marianne" w:hAnsi="Marianne"/>
          <w:sz w:val="18"/>
          <w:szCs w:val="20"/>
        </w:rPr>
        <w:t xml:space="preserve">; une annexe sur la REUSE sera proposée. </w:t>
      </w:r>
    </w:p>
    <w:p w14:paraId="0C1FD5E2" w14:textId="42E49FD0" w:rsidR="008E6BE7" w:rsidRDefault="00F47D7F" w:rsidP="00025129">
      <w:pPr>
        <w:jc w:val="both"/>
        <w:rPr>
          <w:rFonts w:ascii="Marianne" w:hAnsi="Marianne"/>
          <w:sz w:val="18"/>
          <w:szCs w:val="18"/>
        </w:rPr>
      </w:pPr>
      <w:r w:rsidRPr="008E6BE7">
        <w:rPr>
          <w:rFonts w:ascii="Marianne" w:hAnsi="Marianne"/>
          <w:sz w:val="18"/>
          <w:szCs w:val="20"/>
        </w:rPr>
        <w:t>Le titre du III.3. «</w:t>
      </w:r>
      <w:r w:rsidRPr="008E6BE7">
        <w:rPr>
          <w:rFonts w:ascii="Calibri" w:hAnsi="Calibri" w:cs="Calibri"/>
          <w:sz w:val="18"/>
          <w:szCs w:val="20"/>
        </w:rPr>
        <w:t> </w:t>
      </w:r>
      <w:r w:rsidRPr="008E6BE7">
        <w:rPr>
          <w:rFonts w:ascii="Marianne" w:hAnsi="Marianne"/>
          <w:sz w:val="18"/>
          <w:szCs w:val="20"/>
        </w:rPr>
        <w:t>Contractualisation du programme d</w:t>
      </w:r>
      <w:r w:rsidRPr="008E6BE7">
        <w:rPr>
          <w:rFonts w:ascii="Marianne" w:hAnsi="Marianne" w:cs="Marianne"/>
          <w:sz w:val="18"/>
          <w:szCs w:val="20"/>
        </w:rPr>
        <w:t>’</w:t>
      </w:r>
      <w:r w:rsidRPr="008E6BE7">
        <w:rPr>
          <w:rFonts w:ascii="Marianne" w:hAnsi="Marianne"/>
          <w:sz w:val="18"/>
          <w:szCs w:val="20"/>
        </w:rPr>
        <w:t>action</w:t>
      </w:r>
      <w:r w:rsidRPr="008E6BE7">
        <w:rPr>
          <w:rFonts w:ascii="Calibri" w:hAnsi="Calibri" w:cs="Calibri"/>
          <w:sz w:val="18"/>
          <w:szCs w:val="20"/>
        </w:rPr>
        <w:t> </w:t>
      </w:r>
      <w:r w:rsidRPr="008E6BE7">
        <w:rPr>
          <w:rFonts w:ascii="Marianne" w:hAnsi="Marianne" w:cs="Marianne"/>
          <w:sz w:val="18"/>
          <w:szCs w:val="20"/>
        </w:rPr>
        <w:t>»</w:t>
      </w:r>
      <w:r w:rsidRPr="008E6BE7">
        <w:rPr>
          <w:rFonts w:ascii="Marianne" w:hAnsi="Marianne"/>
          <w:sz w:val="18"/>
          <w:szCs w:val="20"/>
        </w:rPr>
        <w:t xml:space="preserve"> </w:t>
      </w:r>
      <w:r w:rsidR="00B12016" w:rsidRPr="008E6BE7">
        <w:rPr>
          <w:rFonts w:ascii="Marianne" w:hAnsi="Marianne"/>
          <w:sz w:val="18"/>
          <w:szCs w:val="20"/>
        </w:rPr>
        <w:t xml:space="preserve">devrait être reformulé pour mettre en évidence </w:t>
      </w:r>
      <w:r w:rsidR="007A3015" w:rsidRPr="008E6BE7">
        <w:rPr>
          <w:rFonts w:ascii="Marianne" w:hAnsi="Marianne"/>
          <w:sz w:val="18"/>
          <w:szCs w:val="20"/>
        </w:rPr>
        <w:t>la question des financements qui doit être traitée. C’est un point crucial du plan d’action</w:t>
      </w:r>
      <w:r w:rsidR="00023692">
        <w:rPr>
          <w:rFonts w:ascii="Marianne" w:hAnsi="Marianne"/>
          <w:sz w:val="18"/>
          <w:szCs w:val="20"/>
        </w:rPr>
        <w:t>s</w:t>
      </w:r>
      <w:r w:rsidR="007A3015" w:rsidRPr="008E6BE7">
        <w:rPr>
          <w:rFonts w:ascii="Marianne" w:hAnsi="Marianne"/>
          <w:sz w:val="18"/>
          <w:szCs w:val="20"/>
        </w:rPr>
        <w:t xml:space="preserve"> et </w:t>
      </w:r>
      <w:r w:rsidR="007A3015" w:rsidRPr="00566705">
        <w:rPr>
          <w:rFonts w:ascii="Marianne" w:hAnsi="Marianne"/>
          <w:sz w:val="18"/>
          <w:szCs w:val="18"/>
        </w:rPr>
        <w:t xml:space="preserve">souvent, point de blocage. </w:t>
      </w:r>
    </w:p>
    <w:p w14:paraId="54B775C0" w14:textId="77777777" w:rsidR="00D505C0" w:rsidRDefault="00D505C0" w:rsidP="00D505C0">
      <w:pPr>
        <w:jc w:val="both"/>
        <w:rPr>
          <w:rFonts w:ascii="Marianne" w:hAnsi="Marianne"/>
          <w:sz w:val="18"/>
          <w:szCs w:val="20"/>
        </w:rPr>
      </w:pPr>
      <w:r>
        <w:rPr>
          <w:rFonts w:ascii="Marianne" w:hAnsi="Marianne"/>
          <w:sz w:val="18"/>
          <w:szCs w:val="20"/>
        </w:rPr>
        <w:t xml:space="preserve">L’APCA indique </w:t>
      </w:r>
      <w:r w:rsidRPr="00D505C0">
        <w:rPr>
          <w:rFonts w:ascii="Marianne" w:hAnsi="Marianne"/>
          <w:sz w:val="18"/>
          <w:szCs w:val="20"/>
        </w:rPr>
        <w:t xml:space="preserve">que l’annexe sur les </w:t>
      </w:r>
      <w:r>
        <w:rPr>
          <w:rFonts w:ascii="Marianne" w:hAnsi="Marianne"/>
          <w:sz w:val="18"/>
          <w:szCs w:val="20"/>
        </w:rPr>
        <w:t xml:space="preserve">différentes </w:t>
      </w:r>
      <w:r w:rsidRPr="00D505C0">
        <w:rPr>
          <w:rFonts w:ascii="Marianne" w:hAnsi="Marianne"/>
          <w:sz w:val="18"/>
          <w:szCs w:val="20"/>
        </w:rPr>
        <w:t>possibilités de financements</w:t>
      </w:r>
      <w:r>
        <w:rPr>
          <w:rFonts w:ascii="Marianne" w:hAnsi="Marianne"/>
          <w:sz w:val="18"/>
          <w:szCs w:val="20"/>
        </w:rPr>
        <w:t xml:space="preserve"> est importante. </w:t>
      </w:r>
    </w:p>
    <w:p w14:paraId="2B1760B2" w14:textId="22F89A89" w:rsidR="00566705" w:rsidRDefault="004601F3" w:rsidP="00025129">
      <w:pPr>
        <w:jc w:val="both"/>
        <w:rPr>
          <w:rFonts w:ascii="Marianne" w:hAnsi="Marianne"/>
          <w:sz w:val="18"/>
          <w:szCs w:val="20"/>
        </w:rPr>
      </w:pPr>
      <w:r w:rsidRPr="008E6BE7">
        <w:rPr>
          <w:rFonts w:ascii="Marianne" w:hAnsi="Marianne"/>
          <w:sz w:val="18"/>
          <w:szCs w:val="20"/>
        </w:rPr>
        <w:t xml:space="preserve">Les participants insistent sur le fait que les annexes ne doivent pas </w:t>
      </w:r>
      <w:r w:rsidR="006B318E" w:rsidRPr="008E6BE7">
        <w:rPr>
          <w:rFonts w:ascii="Marianne" w:hAnsi="Marianne"/>
          <w:sz w:val="18"/>
          <w:szCs w:val="20"/>
        </w:rPr>
        <w:t>êt</w:t>
      </w:r>
      <w:r w:rsidR="00023692">
        <w:rPr>
          <w:rFonts w:ascii="Marianne" w:hAnsi="Marianne"/>
          <w:sz w:val="18"/>
          <w:szCs w:val="20"/>
        </w:rPr>
        <w:t xml:space="preserve">re directives en termes d’outils </w:t>
      </w:r>
      <w:r w:rsidR="006B318E" w:rsidRPr="008E6BE7">
        <w:rPr>
          <w:rFonts w:ascii="Marianne" w:hAnsi="Marianne"/>
          <w:sz w:val="18"/>
          <w:szCs w:val="20"/>
        </w:rPr>
        <w:t>à utiliser</w:t>
      </w:r>
      <w:r w:rsidR="00970028" w:rsidRPr="008E6BE7">
        <w:rPr>
          <w:rFonts w:ascii="Marianne" w:hAnsi="Marianne"/>
          <w:sz w:val="18"/>
          <w:szCs w:val="20"/>
        </w:rPr>
        <w:t>, elles doivent montrer les possibilités et les complémentarités</w:t>
      </w:r>
      <w:r w:rsidR="006B318E" w:rsidRPr="008E6BE7">
        <w:rPr>
          <w:rFonts w:ascii="Marianne" w:hAnsi="Marianne"/>
          <w:sz w:val="18"/>
          <w:szCs w:val="20"/>
        </w:rPr>
        <w:t>.</w:t>
      </w:r>
      <w:r w:rsidR="004B0B4C" w:rsidRPr="008E6BE7">
        <w:rPr>
          <w:rFonts w:ascii="Marianne" w:hAnsi="Marianne"/>
          <w:sz w:val="18"/>
          <w:szCs w:val="20"/>
        </w:rPr>
        <w:t xml:space="preserve"> </w:t>
      </w:r>
      <w:r w:rsidR="006B318E" w:rsidRPr="008E6BE7">
        <w:rPr>
          <w:rFonts w:ascii="Marianne" w:hAnsi="Marianne"/>
          <w:sz w:val="18"/>
          <w:szCs w:val="20"/>
        </w:rPr>
        <w:t>Selon le contexte et la pertinence, le choix de l’outil d</w:t>
      </w:r>
      <w:r w:rsidR="00112CF0" w:rsidRPr="008E6BE7">
        <w:rPr>
          <w:rFonts w:ascii="Marianne" w:hAnsi="Marianne"/>
          <w:sz w:val="18"/>
          <w:szCs w:val="20"/>
        </w:rPr>
        <w:t>evrait</w:t>
      </w:r>
      <w:r w:rsidR="006B318E" w:rsidRPr="008E6BE7">
        <w:rPr>
          <w:rFonts w:ascii="Marianne" w:hAnsi="Marianne"/>
          <w:sz w:val="18"/>
          <w:szCs w:val="20"/>
        </w:rPr>
        <w:t xml:space="preserve"> être laissé au </w:t>
      </w:r>
      <w:r w:rsidR="002F3E32" w:rsidRPr="008E6BE7">
        <w:rPr>
          <w:rFonts w:ascii="Marianne" w:hAnsi="Marianne"/>
          <w:sz w:val="18"/>
          <w:szCs w:val="20"/>
        </w:rPr>
        <w:t>territoire</w:t>
      </w:r>
      <w:r w:rsidR="006B318E" w:rsidRPr="008E6BE7">
        <w:rPr>
          <w:rFonts w:ascii="Marianne" w:hAnsi="Marianne"/>
          <w:sz w:val="18"/>
          <w:szCs w:val="20"/>
        </w:rPr>
        <w:t>, les annexes propos</w:t>
      </w:r>
      <w:r w:rsidR="0072399F" w:rsidRPr="008E6BE7">
        <w:rPr>
          <w:rFonts w:ascii="Marianne" w:hAnsi="Marianne"/>
          <w:sz w:val="18"/>
          <w:szCs w:val="20"/>
        </w:rPr>
        <w:t>a</w:t>
      </w:r>
      <w:r w:rsidR="00112CF0" w:rsidRPr="008E6BE7">
        <w:rPr>
          <w:rFonts w:ascii="Marianne" w:hAnsi="Marianne"/>
          <w:sz w:val="18"/>
          <w:szCs w:val="20"/>
        </w:rPr>
        <w:t>nt</w:t>
      </w:r>
      <w:r w:rsidR="0031113F">
        <w:rPr>
          <w:rFonts w:ascii="Marianne" w:hAnsi="Marianne"/>
          <w:sz w:val="18"/>
          <w:szCs w:val="20"/>
        </w:rPr>
        <w:t xml:space="preserve"> seulement</w:t>
      </w:r>
      <w:r w:rsidR="006B318E" w:rsidRPr="008E6BE7">
        <w:rPr>
          <w:rFonts w:ascii="Marianne" w:hAnsi="Marianne"/>
          <w:sz w:val="18"/>
          <w:szCs w:val="20"/>
        </w:rPr>
        <w:t xml:space="preserve"> certains type</w:t>
      </w:r>
      <w:r w:rsidR="00762A23" w:rsidRPr="008E6BE7">
        <w:rPr>
          <w:rFonts w:ascii="Marianne" w:hAnsi="Marianne"/>
          <w:sz w:val="18"/>
          <w:szCs w:val="20"/>
        </w:rPr>
        <w:t>s</w:t>
      </w:r>
      <w:r w:rsidR="006B318E" w:rsidRPr="008E6BE7">
        <w:rPr>
          <w:rFonts w:ascii="Marianne" w:hAnsi="Marianne"/>
          <w:sz w:val="18"/>
          <w:szCs w:val="20"/>
        </w:rPr>
        <w:t xml:space="preserve"> d’outil</w:t>
      </w:r>
      <w:r w:rsidR="0031113F">
        <w:rPr>
          <w:rFonts w:ascii="Marianne" w:hAnsi="Marianne"/>
          <w:sz w:val="18"/>
          <w:szCs w:val="20"/>
        </w:rPr>
        <w:t>s</w:t>
      </w:r>
      <w:r w:rsidR="006B318E" w:rsidRPr="008E6BE7">
        <w:rPr>
          <w:rFonts w:ascii="Marianne" w:hAnsi="Marianne"/>
          <w:sz w:val="18"/>
          <w:szCs w:val="20"/>
        </w:rPr>
        <w:t>. Dans ce cadre</w:t>
      </w:r>
      <w:r w:rsidR="00762A23" w:rsidRPr="008E6BE7">
        <w:rPr>
          <w:rFonts w:ascii="Marianne" w:hAnsi="Marianne"/>
          <w:sz w:val="18"/>
          <w:szCs w:val="20"/>
        </w:rPr>
        <w:t>,</w:t>
      </w:r>
      <w:r w:rsidR="006B318E" w:rsidRPr="008E6BE7">
        <w:rPr>
          <w:rFonts w:ascii="Marianne" w:hAnsi="Marianne"/>
          <w:sz w:val="18"/>
          <w:szCs w:val="20"/>
        </w:rPr>
        <w:t xml:space="preserve"> il est fait mention de la difficulté à a</w:t>
      </w:r>
      <w:r w:rsidR="00706F81" w:rsidRPr="008E6BE7">
        <w:rPr>
          <w:rFonts w:ascii="Marianne" w:hAnsi="Marianne"/>
          <w:sz w:val="18"/>
          <w:szCs w:val="20"/>
        </w:rPr>
        <w:t>dopter</w:t>
      </w:r>
      <w:r w:rsidR="006B318E" w:rsidRPr="008E6BE7">
        <w:rPr>
          <w:rFonts w:ascii="Marianne" w:hAnsi="Marianne"/>
          <w:sz w:val="18"/>
          <w:szCs w:val="20"/>
        </w:rPr>
        <w:t xml:space="preserve"> un niveau </w:t>
      </w:r>
      <w:r w:rsidR="002F3932" w:rsidRPr="008E6BE7">
        <w:rPr>
          <w:rFonts w:ascii="Marianne" w:hAnsi="Marianne"/>
          <w:sz w:val="18"/>
          <w:szCs w:val="20"/>
        </w:rPr>
        <w:t>d’écriture adapté (par exemple dans le fait de proposer des cahiers des charges «</w:t>
      </w:r>
      <w:r w:rsidR="002F3932" w:rsidRPr="008E6BE7">
        <w:rPr>
          <w:rFonts w:ascii="Calibri" w:hAnsi="Calibri" w:cs="Calibri"/>
          <w:sz w:val="18"/>
          <w:szCs w:val="20"/>
        </w:rPr>
        <w:t> </w:t>
      </w:r>
      <w:r w:rsidR="002F3932" w:rsidRPr="008E6BE7">
        <w:rPr>
          <w:rFonts w:ascii="Marianne" w:hAnsi="Marianne"/>
          <w:sz w:val="18"/>
          <w:szCs w:val="20"/>
        </w:rPr>
        <w:t>types</w:t>
      </w:r>
      <w:r w:rsidR="002F3932" w:rsidRPr="008E6BE7">
        <w:rPr>
          <w:rFonts w:ascii="Calibri" w:hAnsi="Calibri" w:cs="Calibri"/>
          <w:sz w:val="18"/>
          <w:szCs w:val="20"/>
        </w:rPr>
        <w:t> </w:t>
      </w:r>
      <w:r w:rsidR="002F3932" w:rsidRPr="008E6BE7">
        <w:rPr>
          <w:rFonts w:ascii="Marianne" w:hAnsi="Marianne" w:cs="Marianne"/>
          <w:sz w:val="18"/>
          <w:szCs w:val="20"/>
        </w:rPr>
        <w:t>»</w:t>
      </w:r>
      <w:r w:rsidR="002F3932" w:rsidRPr="008E6BE7">
        <w:rPr>
          <w:rFonts w:ascii="Marianne" w:hAnsi="Marianne"/>
          <w:sz w:val="18"/>
          <w:szCs w:val="20"/>
        </w:rPr>
        <w:t xml:space="preserve">), pour assurer </w:t>
      </w:r>
      <w:r w:rsidR="00B11462" w:rsidRPr="008E6BE7">
        <w:rPr>
          <w:rFonts w:ascii="Marianne" w:hAnsi="Marianne"/>
          <w:sz w:val="18"/>
          <w:szCs w:val="20"/>
        </w:rPr>
        <w:t xml:space="preserve">un détail suffisant </w:t>
      </w:r>
      <w:r w:rsidR="002F3E32" w:rsidRPr="008E6BE7">
        <w:rPr>
          <w:rFonts w:ascii="Marianne" w:hAnsi="Marianne"/>
          <w:sz w:val="18"/>
          <w:szCs w:val="20"/>
        </w:rPr>
        <w:t xml:space="preserve">tout en s’assurant </w:t>
      </w:r>
      <w:r w:rsidR="00D52636" w:rsidRPr="008E6BE7">
        <w:rPr>
          <w:rFonts w:ascii="Marianne" w:hAnsi="Marianne"/>
          <w:sz w:val="18"/>
          <w:szCs w:val="20"/>
        </w:rPr>
        <w:t>une applicabilité large de l’outil</w:t>
      </w:r>
      <w:r w:rsidR="002F3E32" w:rsidRPr="008E6BE7">
        <w:rPr>
          <w:rFonts w:ascii="Marianne" w:hAnsi="Marianne"/>
          <w:sz w:val="18"/>
          <w:szCs w:val="20"/>
        </w:rPr>
        <w:t>.</w:t>
      </w:r>
      <w:r w:rsidR="008E6BE7">
        <w:rPr>
          <w:rFonts w:ascii="Marianne" w:hAnsi="Marianne"/>
          <w:sz w:val="18"/>
          <w:szCs w:val="20"/>
        </w:rPr>
        <w:t xml:space="preserve"> </w:t>
      </w:r>
      <w:r w:rsidR="00566705">
        <w:rPr>
          <w:rFonts w:ascii="Marianne" w:hAnsi="Marianne"/>
          <w:sz w:val="18"/>
          <w:szCs w:val="20"/>
        </w:rPr>
        <w:t>L’AEAG</w:t>
      </w:r>
      <w:r w:rsidR="00023692">
        <w:rPr>
          <w:rFonts w:ascii="Marianne" w:hAnsi="Marianne"/>
          <w:sz w:val="18"/>
          <w:szCs w:val="20"/>
        </w:rPr>
        <w:t xml:space="preserve"> indique notamment </w:t>
      </w:r>
      <w:r w:rsidR="00BD253D">
        <w:rPr>
          <w:rFonts w:ascii="Marianne" w:hAnsi="Marianne"/>
          <w:sz w:val="18"/>
          <w:szCs w:val="20"/>
        </w:rPr>
        <w:t>travailler</w:t>
      </w:r>
      <w:r w:rsidR="00566705">
        <w:rPr>
          <w:rFonts w:ascii="Marianne" w:hAnsi="Marianne"/>
          <w:sz w:val="18"/>
          <w:szCs w:val="20"/>
        </w:rPr>
        <w:t xml:space="preserve"> sur une déclinaison opérationnelle du guide INRA</w:t>
      </w:r>
      <w:r w:rsidR="00023692">
        <w:rPr>
          <w:rFonts w:ascii="Marianne" w:hAnsi="Marianne"/>
          <w:sz w:val="18"/>
          <w:szCs w:val="20"/>
        </w:rPr>
        <w:t xml:space="preserve">e sur l’analyse économique et financière des PTGE. </w:t>
      </w:r>
    </w:p>
    <w:p w14:paraId="4FED81F6" w14:textId="6A239019" w:rsidR="002F3E32" w:rsidRPr="00BD253D" w:rsidRDefault="0031113F" w:rsidP="00445CFD">
      <w:pPr>
        <w:jc w:val="both"/>
        <w:rPr>
          <w:rFonts w:ascii="Marianne" w:hAnsi="Marianne" w:cs="Calibri"/>
          <w:b/>
          <w:sz w:val="18"/>
          <w:szCs w:val="18"/>
        </w:rPr>
      </w:pPr>
      <w:r>
        <w:rPr>
          <w:rFonts w:ascii="Marianne" w:hAnsi="Marianne" w:cs="Calibri"/>
          <w:b/>
          <w:sz w:val="18"/>
          <w:szCs w:val="18"/>
        </w:rPr>
        <w:t>Le MTE conclut que le guide sera</w:t>
      </w:r>
      <w:r w:rsidR="00445CFD" w:rsidRPr="00BD253D">
        <w:rPr>
          <w:rFonts w:ascii="Marianne" w:hAnsi="Marianne" w:cs="Calibri"/>
          <w:b/>
          <w:sz w:val="18"/>
          <w:szCs w:val="18"/>
        </w:rPr>
        <w:t xml:space="preserve"> opérationnel et le fruit de la mutualisation des connaissances et exemples</w:t>
      </w:r>
      <w:r w:rsidR="00023692" w:rsidRPr="00BD253D">
        <w:rPr>
          <w:rFonts w:ascii="Marianne" w:hAnsi="Marianne" w:cs="Calibri"/>
          <w:b/>
          <w:sz w:val="18"/>
          <w:szCs w:val="18"/>
        </w:rPr>
        <w:t xml:space="preserve"> et RETEX. Il ciblera</w:t>
      </w:r>
      <w:r w:rsidR="00445CFD" w:rsidRPr="00BD253D">
        <w:rPr>
          <w:rFonts w:ascii="Marianne" w:hAnsi="Marianne" w:cs="Calibri"/>
          <w:b/>
          <w:sz w:val="18"/>
          <w:szCs w:val="18"/>
        </w:rPr>
        <w:t xml:space="preserve"> les porteurs de projet</w:t>
      </w:r>
      <w:r w:rsidR="00023692" w:rsidRPr="00BD253D">
        <w:rPr>
          <w:rFonts w:ascii="Marianne" w:hAnsi="Marianne" w:cs="Calibri"/>
          <w:b/>
          <w:sz w:val="18"/>
          <w:szCs w:val="18"/>
        </w:rPr>
        <w:t xml:space="preserve"> et les acteurs de la démarche. </w:t>
      </w:r>
    </w:p>
    <w:sectPr w:rsidR="002F3E32" w:rsidRPr="00BD253D">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B55E7" w14:textId="77777777" w:rsidR="009E307C" w:rsidRDefault="009E307C" w:rsidP="00DE78E1">
      <w:pPr>
        <w:spacing w:after="0" w:line="240" w:lineRule="auto"/>
      </w:pPr>
      <w:r>
        <w:separator/>
      </w:r>
    </w:p>
  </w:endnote>
  <w:endnote w:type="continuationSeparator" w:id="0">
    <w:p w14:paraId="236109C9" w14:textId="77777777" w:rsidR="009E307C" w:rsidRDefault="009E307C" w:rsidP="00DE78E1">
      <w:pPr>
        <w:spacing w:after="0" w:line="240" w:lineRule="auto"/>
      </w:pPr>
      <w:r>
        <w:continuationSeparator/>
      </w:r>
    </w:p>
  </w:endnote>
  <w:endnote w:type="continuationNotice" w:id="1">
    <w:p w14:paraId="7AE8042E" w14:textId="77777777" w:rsidR="009E307C" w:rsidRDefault="009E30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altName w:val="Calibri"/>
    <w:panose1 w:val="00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657947"/>
      <w:docPartObj>
        <w:docPartGallery w:val="Page Numbers (Bottom of Page)"/>
        <w:docPartUnique/>
      </w:docPartObj>
    </w:sdtPr>
    <w:sdtEndPr/>
    <w:sdtContent>
      <w:p w14:paraId="264CBAF9" w14:textId="47E721F1" w:rsidR="00DE78E1" w:rsidRDefault="004269C7">
        <w:pPr>
          <w:pStyle w:val="Pieddepage"/>
        </w:pPr>
        <w:r>
          <w:rPr>
            <w:noProof/>
            <w:lang w:eastAsia="fr-FR"/>
          </w:rPr>
          <mc:AlternateContent>
            <mc:Choice Requires="wps">
              <w:drawing>
                <wp:anchor distT="0" distB="0" distL="114300" distR="114300" simplePos="0" relativeHeight="251659264" behindDoc="0" locked="0" layoutInCell="0" allowOverlap="1" wp14:anchorId="5D012E7C" wp14:editId="6F2E41FC">
                  <wp:simplePos x="0" y="0"/>
                  <wp:positionH relativeFrom="rightMargin">
                    <wp:align>left</wp:align>
                  </wp:positionH>
                  <mc:AlternateContent>
                    <mc:Choice Requires="wp14">
                      <wp:positionV relativeFrom="bottomMargin">
                        <wp14:pctPosVOffset>7000</wp14:pctPosVOffset>
                      </wp:positionV>
                    </mc:Choice>
                    <mc:Fallback>
                      <wp:positionV relativeFrom="page">
                        <wp:posOffset>9841230</wp:posOffset>
                      </wp:positionV>
                    </mc:Fallback>
                  </mc:AlternateContent>
                  <wp:extent cx="368300" cy="274320"/>
                  <wp:effectExtent l="9525" t="9525"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11613BF8" w14:textId="4F6CAB57" w:rsidR="004269C7" w:rsidRDefault="004269C7">
                              <w:pPr>
                                <w:jc w:val="center"/>
                              </w:pPr>
                              <w:r>
                                <w:fldChar w:fldCharType="begin"/>
                              </w:r>
                              <w:r>
                                <w:instrText>PAGE    \* MERGEFORMAT</w:instrText>
                              </w:r>
                              <w:r>
                                <w:fldChar w:fldCharType="separate"/>
                              </w:r>
                              <w:r w:rsidR="009935EE" w:rsidRPr="009935EE">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12E7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PxQAIAAHEEAAAOAAAAZHJzL2Uyb0RvYy54bWysVG1uEzEQ/Y/EHSz/J5uvtiHKpqpSgpAK&#10;VCocwLG9WYPXY8ZONuVGPQcXY+zdhBT4hdiVHM+O583Me54srg+NZXuNwYAr+Wgw5Ew7Ccq4bck/&#10;f1q/mnEWonBKWHC65I868OvlyxeL1s/1GGqwSiMjEBfmrS95HaOfF0WQtW5EGIDXjpwVYCMimbgt&#10;FIqW0BtbjIfDy6IFVB5B6hDo623n5MuMX1Vaxo9VFXRktuRUW8wr5nWT1mK5EPMtCl8b2Zch/qGK&#10;RhhHSU9QtyIKtkPzB1RjJEKAKg4kNAVUlZE690DdjIa/dfNQC69zL0RO8Ceawv+DlR/298iMIu04&#10;c6IhiVYC8ccTk4COfkaJotaHOZ188PeYmgz+DuTXwBysauG2+gYR2loLRYXl88WzgGQECmWb9j0o&#10;yiB2ETJbhwqbBEg8sEMW5fEkij5EJunj5HI2GZJ0klzjq+lknEUrxPwY7DHEtxoaljYlr9KVUiuq&#10;XmNOIvZ3IWZtVN+hUF84qxpLSu+FZZPpxeURtD9M8EfY3DBYo9bG2mzgdrOyyCi05Ov8JI4oJJwf&#10;s461VP3o6iJX8cwXziFmw/T+DQJh51S+oYncN/0+CmO7PaW0jjIfCe6EiofNoddsA+qReEfo7j3N&#10;KW1qwO+ctXTnSx6+7QRqzuw7R9q9Hk2naUiyMb24IqoZnns25x7hJEGVPHLWbVexG6ydR7OtKdMo&#10;d+7ghvSuTEwkpVK7qnqD7nXmrp/BNDjndj71659i+RM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JSwT8UACAABxBAAADgAAAAAA&#10;AAAAAAAAAAAuAgAAZHJzL2Uyb0RvYy54bWxQSwECLQAUAAYACAAAACEAdbyVRtkAAAADAQAADwAA&#10;AAAAAAAAAAAAAACaBAAAZHJzL2Rvd25yZXYueG1sUEsFBgAAAAAEAAQA8wAAAKAFAAAAAA==&#10;" o:allowincell="f" adj="14135" strokecolor="gray" strokeweight=".25pt">
                  <v:textbox>
                    <w:txbxContent>
                      <w:p w14:paraId="11613BF8" w14:textId="4F6CAB57" w:rsidR="004269C7" w:rsidRDefault="004269C7">
                        <w:pPr>
                          <w:jc w:val="center"/>
                        </w:pPr>
                        <w:r>
                          <w:fldChar w:fldCharType="begin"/>
                        </w:r>
                        <w:r>
                          <w:instrText>PAGE    \* MERGEFORMAT</w:instrText>
                        </w:r>
                        <w:r>
                          <w:fldChar w:fldCharType="separate"/>
                        </w:r>
                        <w:r w:rsidR="009935EE" w:rsidRPr="009935EE">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BA437" w14:textId="77777777" w:rsidR="009E307C" w:rsidRDefault="009E307C" w:rsidP="00DE78E1">
      <w:pPr>
        <w:spacing w:after="0" w:line="240" w:lineRule="auto"/>
      </w:pPr>
      <w:r>
        <w:separator/>
      </w:r>
    </w:p>
  </w:footnote>
  <w:footnote w:type="continuationSeparator" w:id="0">
    <w:p w14:paraId="10A1734F" w14:textId="77777777" w:rsidR="009E307C" w:rsidRDefault="009E307C" w:rsidP="00DE78E1">
      <w:pPr>
        <w:spacing w:after="0" w:line="240" w:lineRule="auto"/>
      </w:pPr>
      <w:r>
        <w:continuationSeparator/>
      </w:r>
    </w:p>
  </w:footnote>
  <w:footnote w:type="continuationNotice" w:id="1">
    <w:p w14:paraId="287C967B" w14:textId="77777777" w:rsidR="009E307C" w:rsidRDefault="009E307C">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BAD2CD"/>
    <w:rsid w:val="00023692"/>
    <w:rsid w:val="00025129"/>
    <w:rsid w:val="00050E38"/>
    <w:rsid w:val="00057575"/>
    <w:rsid w:val="00075B05"/>
    <w:rsid w:val="000A063D"/>
    <w:rsid w:val="000A46B5"/>
    <w:rsid w:val="000A5805"/>
    <w:rsid w:val="000A5C49"/>
    <w:rsid w:val="000B63F2"/>
    <w:rsid w:val="000D60C7"/>
    <w:rsid w:val="000F15E8"/>
    <w:rsid w:val="001052ED"/>
    <w:rsid w:val="00112CF0"/>
    <w:rsid w:val="001212EA"/>
    <w:rsid w:val="00157605"/>
    <w:rsid w:val="0018216B"/>
    <w:rsid w:val="00191119"/>
    <w:rsid w:val="00196B08"/>
    <w:rsid w:val="001A717E"/>
    <w:rsid w:val="001C3BAA"/>
    <w:rsid w:val="001C414F"/>
    <w:rsid w:val="00245053"/>
    <w:rsid w:val="00253B98"/>
    <w:rsid w:val="002709B1"/>
    <w:rsid w:val="00272A78"/>
    <w:rsid w:val="002A0CB3"/>
    <w:rsid w:val="002C3D3C"/>
    <w:rsid w:val="002D3E66"/>
    <w:rsid w:val="002F3932"/>
    <w:rsid w:val="002F3E32"/>
    <w:rsid w:val="0031113F"/>
    <w:rsid w:val="00350ACE"/>
    <w:rsid w:val="00364D6A"/>
    <w:rsid w:val="00380269"/>
    <w:rsid w:val="00393C97"/>
    <w:rsid w:val="00412AA7"/>
    <w:rsid w:val="00417ACE"/>
    <w:rsid w:val="004269C7"/>
    <w:rsid w:val="00445CFD"/>
    <w:rsid w:val="004601F3"/>
    <w:rsid w:val="004841FD"/>
    <w:rsid w:val="004B0B4C"/>
    <w:rsid w:val="004C7DBE"/>
    <w:rsid w:val="004D426A"/>
    <w:rsid w:val="004E09D3"/>
    <w:rsid w:val="005074BD"/>
    <w:rsid w:val="00563C4D"/>
    <w:rsid w:val="00566705"/>
    <w:rsid w:val="005F3B34"/>
    <w:rsid w:val="00607E2C"/>
    <w:rsid w:val="00650CF9"/>
    <w:rsid w:val="00656CA6"/>
    <w:rsid w:val="006B318E"/>
    <w:rsid w:val="00703CAA"/>
    <w:rsid w:val="0070592D"/>
    <w:rsid w:val="00706F81"/>
    <w:rsid w:val="0072399F"/>
    <w:rsid w:val="00727381"/>
    <w:rsid w:val="00762A23"/>
    <w:rsid w:val="00790735"/>
    <w:rsid w:val="007A3015"/>
    <w:rsid w:val="007B2E3F"/>
    <w:rsid w:val="007B6E10"/>
    <w:rsid w:val="007B71D3"/>
    <w:rsid w:val="00810B39"/>
    <w:rsid w:val="00813E30"/>
    <w:rsid w:val="008146B9"/>
    <w:rsid w:val="0082488E"/>
    <w:rsid w:val="00866E82"/>
    <w:rsid w:val="00875E97"/>
    <w:rsid w:val="00880FF3"/>
    <w:rsid w:val="008E6BE7"/>
    <w:rsid w:val="009055E9"/>
    <w:rsid w:val="00912084"/>
    <w:rsid w:val="009134FE"/>
    <w:rsid w:val="0094095C"/>
    <w:rsid w:val="00970028"/>
    <w:rsid w:val="009935EE"/>
    <w:rsid w:val="00994BB2"/>
    <w:rsid w:val="009A5C21"/>
    <w:rsid w:val="009D7CB4"/>
    <w:rsid w:val="009E307C"/>
    <w:rsid w:val="00A0046C"/>
    <w:rsid w:val="00A07BB3"/>
    <w:rsid w:val="00A6624D"/>
    <w:rsid w:val="00AB13FD"/>
    <w:rsid w:val="00AB2E9A"/>
    <w:rsid w:val="00AB388E"/>
    <w:rsid w:val="00AB4EBC"/>
    <w:rsid w:val="00AD0EF4"/>
    <w:rsid w:val="00AD6782"/>
    <w:rsid w:val="00AE67F0"/>
    <w:rsid w:val="00AF2D51"/>
    <w:rsid w:val="00B11462"/>
    <w:rsid w:val="00B12016"/>
    <w:rsid w:val="00B26031"/>
    <w:rsid w:val="00B47936"/>
    <w:rsid w:val="00B758CE"/>
    <w:rsid w:val="00B837DD"/>
    <w:rsid w:val="00B91B7B"/>
    <w:rsid w:val="00BB0F17"/>
    <w:rsid w:val="00BD253D"/>
    <w:rsid w:val="00C01B87"/>
    <w:rsid w:val="00C07B31"/>
    <w:rsid w:val="00C25C39"/>
    <w:rsid w:val="00C34E21"/>
    <w:rsid w:val="00C747A9"/>
    <w:rsid w:val="00C91C25"/>
    <w:rsid w:val="00CA6E03"/>
    <w:rsid w:val="00CC1D63"/>
    <w:rsid w:val="00CD7CE4"/>
    <w:rsid w:val="00CF419E"/>
    <w:rsid w:val="00CF7580"/>
    <w:rsid w:val="00D023B0"/>
    <w:rsid w:val="00D17C23"/>
    <w:rsid w:val="00D30EB1"/>
    <w:rsid w:val="00D355F2"/>
    <w:rsid w:val="00D47E91"/>
    <w:rsid w:val="00D505C0"/>
    <w:rsid w:val="00D52636"/>
    <w:rsid w:val="00D61A89"/>
    <w:rsid w:val="00DA5BEF"/>
    <w:rsid w:val="00DC3D5C"/>
    <w:rsid w:val="00DE78E1"/>
    <w:rsid w:val="00DF5FA8"/>
    <w:rsid w:val="00E1720E"/>
    <w:rsid w:val="00E5315C"/>
    <w:rsid w:val="00EA2FF9"/>
    <w:rsid w:val="00EC20B6"/>
    <w:rsid w:val="00F12CD3"/>
    <w:rsid w:val="00F44EFD"/>
    <w:rsid w:val="00F47D7F"/>
    <w:rsid w:val="00F8342D"/>
    <w:rsid w:val="02EDC72F"/>
    <w:rsid w:val="04899790"/>
    <w:rsid w:val="05F24DE9"/>
    <w:rsid w:val="06ED66EA"/>
    <w:rsid w:val="07000287"/>
    <w:rsid w:val="09431708"/>
    <w:rsid w:val="0AC5BF0C"/>
    <w:rsid w:val="0B91E152"/>
    <w:rsid w:val="10A6E4CD"/>
    <w:rsid w:val="12D8BE77"/>
    <w:rsid w:val="1A4DC713"/>
    <w:rsid w:val="1A55B499"/>
    <w:rsid w:val="1B10C346"/>
    <w:rsid w:val="1B2861A9"/>
    <w:rsid w:val="1BCFA5C9"/>
    <w:rsid w:val="1BD7934F"/>
    <w:rsid w:val="1D581044"/>
    <w:rsid w:val="1D6B762A"/>
    <w:rsid w:val="1D8D555B"/>
    <w:rsid w:val="1E1B711E"/>
    <w:rsid w:val="1F07468B"/>
    <w:rsid w:val="20A316EC"/>
    <w:rsid w:val="20C4F61D"/>
    <w:rsid w:val="20C9616B"/>
    <w:rsid w:val="226531CC"/>
    <w:rsid w:val="2401022D"/>
    <w:rsid w:val="241A2A8A"/>
    <w:rsid w:val="27D61DF1"/>
    <w:rsid w:val="28D00802"/>
    <w:rsid w:val="2A3E80D2"/>
    <w:rsid w:val="2C0C1412"/>
    <w:rsid w:val="2CAE91DA"/>
    <w:rsid w:val="2D705F1D"/>
    <w:rsid w:val="2DA37925"/>
    <w:rsid w:val="2DA7E473"/>
    <w:rsid w:val="2F6F3C04"/>
    <w:rsid w:val="31806F66"/>
    <w:rsid w:val="31B5B47D"/>
    <w:rsid w:val="325DC1EB"/>
    <w:rsid w:val="331C3FC7"/>
    <w:rsid w:val="332FA5AD"/>
    <w:rsid w:val="357B7102"/>
    <w:rsid w:val="361F294D"/>
    <w:rsid w:val="374A5B6B"/>
    <w:rsid w:val="380BCDA4"/>
    <w:rsid w:val="3829614F"/>
    <w:rsid w:val="38E62BCC"/>
    <w:rsid w:val="39A79E05"/>
    <w:rsid w:val="3AAA4982"/>
    <w:rsid w:val="3E68738B"/>
    <w:rsid w:val="43F5C46B"/>
    <w:rsid w:val="44A880EB"/>
    <w:rsid w:val="454A038F"/>
    <w:rsid w:val="46448EB5"/>
    <w:rsid w:val="4821F16E"/>
    <w:rsid w:val="490318C4"/>
    <w:rsid w:val="49A3D024"/>
    <w:rsid w:val="49A9929B"/>
    <w:rsid w:val="4CB80D5E"/>
    <w:rsid w:val="538A2546"/>
    <w:rsid w:val="5525F5A7"/>
    <w:rsid w:val="55C8736F"/>
    <w:rsid w:val="568A40B2"/>
    <w:rsid w:val="56C1C608"/>
    <w:rsid w:val="575F410A"/>
    <w:rsid w:val="584002BE"/>
    <w:rsid w:val="585D9669"/>
    <w:rsid w:val="58A8B37B"/>
    <w:rsid w:val="59D3E599"/>
    <w:rsid w:val="5EBAD2CD"/>
    <w:rsid w:val="5FE1A435"/>
    <w:rsid w:val="645D4FFB"/>
    <w:rsid w:val="64F12E35"/>
    <w:rsid w:val="660A5B33"/>
    <w:rsid w:val="68230C80"/>
    <w:rsid w:val="6B5AAD42"/>
    <w:rsid w:val="7398D92F"/>
    <w:rsid w:val="747373C5"/>
    <w:rsid w:val="76B12A76"/>
    <w:rsid w:val="7AB8ACC3"/>
    <w:rsid w:val="7BFE7D34"/>
    <w:rsid w:val="7C52C1B0"/>
    <w:rsid w:val="7C7E85AA"/>
    <w:rsid w:val="7D9A4D95"/>
    <w:rsid w:val="7E1A560B"/>
    <w:rsid w:val="7EF427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82586"/>
  <w15:chartTrackingRefBased/>
  <w15:docId w15:val="{D1191A3F-270D-43B2-9732-80768BDAF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07B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5074BD"/>
    <w:pPr>
      <w:spacing w:after="0" w:line="240" w:lineRule="auto"/>
    </w:pPr>
  </w:style>
  <w:style w:type="character" w:styleId="Marquedecommentaire">
    <w:name w:val="annotation reference"/>
    <w:basedOn w:val="Policepardfaut"/>
    <w:uiPriority w:val="99"/>
    <w:semiHidden/>
    <w:unhideWhenUsed/>
    <w:rsid w:val="00CF419E"/>
    <w:rPr>
      <w:sz w:val="16"/>
      <w:szCs w:val="16"/>
    </w:rPr>
  </w:style>
  <w:style w:type="paragraph" w:styleId="Commentaire">
    <w:name w:val="annotation text"/>
    <w:basedOn w:val="Normal"/>
    <w:link w:val="CommentaireCar"/>
    <w:uiPriority w:val="99"/>
    <w:semiHidden/>
    <w:unhideWhenUsed/>
    <w:rsid w:val="00CF419E"/>
    <w:pPr>
      <w:spacing w:line="240" w:lineRule="auto"/>
    </w:pPr>
    <w:rPr>
      <w:sz w:val="20"/>
      <w:szCs w:val="20"/>
    </w:rPr>
  </w:style>
  <w:style w:type="character" w:customStyle="1" w:styleId="CommentaireCar">
    <w:name w:val="Commentaire Car"/>
    <w:basedOn w:val="Policepardfaut"/>
    <w:link w:val="Commentaire"/>
    <w:uiPriority w:val="99"/>
    <w:semiHidden/>
    <w:rsid w:val="00CF419E"/>
    <w:rPr>
      <w:sz w:val="20"/>
      <w:szCs w:val="20"/>
    </w:rPr>
  </w:style>
  <w:style w:type="paragraph" w:styleId="Objetducommentaire">
    <w:name w:val="annotation subject"/>
    <w:basedOn w:val="Commentaire"/>
    <w:next w:val="Commentaire"/>
    <w:link w:val="ObjetducommentaireCar"/>
    <w:uiPriority w:val="99"/>
    <w:semiHidden/>
    <w:unhideWhenUsed/>
    <w:rsid w:val="00CF419E"/>
    <w:rPr>
      <w:b/>
      <w:bCs/>
    </w:rPr>
  </w:style>
  <w:style w:type="character" w:customStyle="1" w:styleId="ObjetducommentaireCar">
    <w:name w:val="Objet du commentaire Car"/>
    <w:basedOn w:val="CommentaireCar"/>
    <w:link w:val="Objetducommentaire"/>
    <w:uiPriority w:val="99"/>
    <w:semiHidden/>
    <w:rsid w:val="00CF419E"/>
    <w:rPr>
      <w:b/>
      <w:bCs/>
      <w:sz w:val="20"/>
      <w:szCs w:val="20"/>
    </w:rPr>
  </w:style>
  <w:style w:type="paragraph" w:styleId="Textedebulles">
    <w:name w:val="Balloon Text"/>
    <w:basedOn w:val="Normal"/>
    <w:link w:val="TextedebullesCar"/>
    <w:uiPriority w:val="99"/>
    <w:semiHidden/>
    <w:unhideWhenUsed/>
    <w:rsid w:val="00CF419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419E"/>
    <w:rPr>
      <w:rFonts w:ascii="Segoe UI" w:hAnsi="Segoe UI" w:cs="Segoe UI"/>
      <w:sz w:val="18"/>
      <w:szCs w:val="18"/>
    </w:rPr>
  </w:style>
  <w:style w:type="paragraph" w:styleId="En-tte">
    <w:name w:val="header"/>
    <w:basedOn w:val="Normal"/>
    <w:link w:val="En-tteCar"/>
    <w:uiPriority w:val="99"/>
    <w:unhideWhenUsed/>
    <w:rsid w:val="00DE78E1"/>
    <w:pPr>
      <w:tabs>
        <w:tab w:val="center" w:pos="4536"/>
        <w:tab w:val="right" w:pos="9072"/>
      </w:tabs>
      <w:spacing w:after="0" w:line="240" w:lineRule="auto"/>
    </w:pPr>
  </w:style>
  <w:style w:type="character" w:customStyle="1" w:styleId="En-tteCar">
    <w:name w:val="En-tête Car"/>
    <w:basedOn w:val="Policepardfaut"/>
    <w:link w:val="En-tte"/>
    <w:uiPriority w:val="99"/>
    <w:rsid w:val="00DE78E1"/>
  </w:style>
  <w:style w:type="paragraph" w:styleId="Pieddepage">
    <w:name w:val="footer"/>
    <w:basedOn w:val="Normal"/>
    <w:link w:val="PieddepageCar"/>
    <w:uiPriority w:val="99"/>
    <w:unhideWhenUsed/>
    <w:rsid w:val="00DE78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7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49221">
      <w:bodyDiv w:val="1"/>
      <w:marLeft w:val="0"/>
      <w:marRight w:val="0"/>
      <w:marTop w:val="0"/>
      <w:marBottom w:val="0"/>
      <w:divBdr>
        <w:top w:val="none" w:sz="0" w:space="0" w:color="auto"/>
        <w:left w:val="none" w:sz="0" w:space="0" w:color="auto"/>
        <w:bottom w:val="none" w:sz="0" w:space="0" w:color="auto"/>
        <w:right w:val="none" w:sz="0" w:space="0" w:color="auto"/>
      </w:divBdr>
    </w:div>
    <w:div w:id="1352149385">
      <w:bodyDiv w:val="1"/>
      <w:marLeft w:val="0"/>
      <w:marRight w:val="0"/>
      <w:marTop w:val="0"/>
      <w:marBottom w:val="0"/>
      <w:divBdr>
        <w:top w:val="none" w:sz="0" w:space="0" w:color="auto"/>
        <w:left w:val="none" w:sz="0" w:space="0" w:color="auto"/>
        <w:bottom w:val="none" w:sz="0" w:space="0" w:color="auto"/>
        <w:right w:val="none" w:sz="0" w:space="0" w:color="auto"/>
      </w:divBdr>
    </w:div>
    <w:div w:id="1411805207">
      <w:bodyDiv w:val="1"/>
      <w:marLeft w:val="0"/>
      <w:marRight w:val="0"/>
      <w:marTop w:val="0"/>
      <w:marBottom w:val="0"/>
      <w:divBdr>
        <w:top w:val="none" w:sz="0" w:space="0" w:color="auto"/>
        <w:left w:val="none" w:sz="0" w:space="0" w:color="auto"/>
        <w:bottom w:val="none" w:sz="0" w:space="0" w:color="auto"/>
        <w:right w:val="none" w:sz="0" w:space="0" w:color="auto"/>
      </w:divBdr>
    </w:div>
    <w:div w:id="189832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8A273252276E4F84F0AD2A921FD84C" ma:contentTypeVersion="2" ma:contentTypeDescription="Crée un document." ma:contentTypeScope="" ma:versionID="dd35b58eadb8687d30a9b45a135785e2">
  <xsd:schema xmlns:xsd="http://www.w3.org/2001/XMLSchema" xmlns:xs="http://www.w3.org/2001/XMLSchema" xmlns:p="http://schemas.microsoft.com/office/2006/metadata/properties" xmlns:ns2="7bf96175-ad76-48be-bcef-bebe6883e422" targetNamespace="http://schemas.microsoft.com/office/2006/metadata/properties" ma:root="true" ma:fieldsID="248ebf253c0c747472d61824525187d2" ns2:_="">
    <xsd:import namespace="7bf96175-ad76-48be-bcef-bebe6883e42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96175-ad76-48be-bcef-bebe6883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7C00D-E0CE-46D6-99A2-D26161AC9520}">
  <ds:schemaRefs>
    <ds:schemaRef ds:uri="http://schemas.microsoft.com/sharepoint/v3/contenttype/forms"/>
  </ds:schemaRefs>
</ds:datastoreItem>
</file>

<file path=customXml/itemProps2.xml><?xml version="1.0" encoding="utf-8"?>
<ds:datastoreItem xmlns:ds="http://schemas.openxmlformats.org/officeDocument/2006/customXml" ds:itemID="{E9AE6599-BF4B-457B-838F-A8657CA581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97B65A-4398-45F2-AA03-FFE9C5D32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96175-ad76-48be-bcef-bebe6883e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BD6DEC-40C6-4786-B720-5B113A906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1326</Words>
  <Characters>7297</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Maelle Drouillat</dc:creator>
  <cp:keywords/>
  <dc:description/>
  <cp:lastModifiedBy>Cyrielle B</cp:lastModifiedBy>
  <cp:revision>2</cp:revision>
  <dcterms:created xsi:type="dcterms:W3CDTF">2022-09-09T13:53:00Z</dcterms:created>
  <dcterms:modified xsi:type="dcterms:W3CDTF">2022-09-09T13:53:00Z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0x010100618A273252276E4F84F0AD2A921FD84C</vt:lpwstr>
  </property>
</Properties>
</file>