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1AECD" w14:textId="77777777" w:rsidR="004530F5" w:rsidRDefault="00D04F14">
      <w:pPr>
        <w:rPr>
          <w:b/>
          <w:sz w:val="24"/>
          <w:szCs w:val="24"/>
        </w:rPr>
      </w:pPr>
      <w:bookmarkStart w:id="0" w:name="_GoBack"/>
      <w:bookmarkEnd w:id="0"/>
      <w:r>
        <w:rPr>
          <w:b/>
          <w:sz w:val="24"/>
          <w:szCs w:val="24"/>
        </w:rPr>
        <w:t xml:space="preserve">Travaux sur les textes dimension « sécheresse » : </w:t>
      </w:r>
    </w:p>
    <w:p w14:paraId="02DBCB9D" w14:textId="77777777" w:rsidR="004530F5" w:rsidRDefault="00D04F14">
      <w:pPr>
        <w:pStyle w:val="Titre1"/>
        <w:numPr>
          <w:ilvl w:val="0"/>
          <w:numId w:val="1"/>
        </w:numPr>
      </w:pPr>
      <w:r>
        <w:t>Sécheresse : Chapitre Ier /Section 3/ Sous-section 1 : Zones d'alerte</w:t>
      </w:r>
    </w:p>
    <w:p w14:paraId="74106F49" w14:textId="5F100860" w:rsidR="00C34A67" w:rsidRPr="00C34A67" w:rsidRDefault="00C34A67" w:rsidP="009B3666">
      <w:pPr>
        <w:pStyle w:val="NormalWeb"/>
        <w:spacing w:before="120" w:beforeAutospacing="0" w:after="0" w:afterAutospacing="0"/>
        <w:rPr>
          <w:rFonts w:ascii="Liberation Serif" w:eastAsia="NSimSun" w:hAnsi="Liberation Serif" w:cs="Lucida Sans"/>
          <w:sz w:val="20"/>
          <w:szCs w:val="20"/>
          <w:lang w:eastAsia="zh-CN" w:bidi="hi-IN"/>
        </w:rPr>
      </w:pPr>
      <w:r w:rsidRPr="00C34A67">
        <w:rPr>
          <w:rFonts w:ascii="Liberation Serif" w:eastAsia="NSimSun" w:hAnsi="Liberation Serif" w:cs="Lucida Sans"/>
          <w:sz w:val="20"/>
          <w:szCs w:val="20"/>
          <w:lang w:eastAsia="zh-CN" w:bidi="hi-IN"/>
        </w:rPr>
        <w:t>Contexte général :</w:t>
      </w:r>
    </w:p>
    <w:p w14:paraId="38D2AF95" w14:textId="282D7C90" w:rsidR="009B3666" w:rsidRPr="00C34A67" w:rsidRDefault="009B3666" w:rsidP="009B3666">
      <w:pPr>
        <w:pStyle w:val="NormalWeb"/>
        <w:spacing w:before="120" w:beforeAutospacing="0" w:after="0" w:afterAutospacing="0"/>
        <w:rPr>
          <w:rFonts w:ascii="Liberation Serif" w:eastAsia="NSimSun" w:hAnsi="Liberation Serif" w:cs="Lucida Sans"/>
          <w:sz w:val="20"/>
          <w:szCs w:val="20"/>
          <w:lang w:eastAsia="zh-CN" w:bidi="hi-IN"/>
        </w:rPr>
      </w:pPr>
      <w:r w:rsidRPr="00C34A67">
        <w:rPr>
          <w:rFonts w:ascii="Liberation Serif" w:eastAsia="NSimSun" w:hAnsi="Liberation Serif" w:cs="Lucida Sans"/>
          <w:sz w:val="20"/>
          <w:szCs w:val="20"/>
          <w:lang w:eastAsia="zh-CN" w:bidi="hi-IN"/>
        </w:rPr>
        <w:t xml:space="preserve">Extrait L211-3 :  (…) II. - Ces décrets déterminent en particulier les conditions dans lesquelles l'autorité administrative peut : </w:t>
      </w:r>
    </w:p>
    <w:p w14:paraId="05A6BA14" w14:textId="77777777" w:rsidR="009B3666" w:rsidRPr="00C34A67" w:rsidRDefault="009B3666" w:rsidP="009B3666">
      <w:pPr>
        <w:pStyle w:val="NormalWeb"/>
        <w:spacing w:before="120" w:beforeAutospacing="0" w:after="0" w:afterAutospacing="0"/>
        <w:rPr>
          <w:rFonts w:ascii="Liberation Serif" w:eastAsia="NSimSun" w:hAnsi="Liberation Serif" w:cs="Lucida Sans"/>
          <w:sz w:val="20"/>
          <w:szCs w:val="20"/>
          <w:lang w:eastAsia="zh-CN" w:bidi="hi-IN"/>
        </w:rPr>
      </w:pPr>
      <w:r w:rsidRPr="00C34A67">
        <w:rPr>
          <w:rFonts w:ascii="Liberation Serif" w:eastAsia="NSimSun" w:hAnsi="Liberation Serif" w:cs="Lucida Sans"/>
          <w:sz w:val="20"/>
          <w:szCs w:val="20"/>
          <w:lang w:eastAsia="zh-CN" w:bidi="hi-IN"/>
        </w:rPr>
        <w:t xml:space="preserve">1° Prendre des mesures de limitation ou de suspension provisoire des usages de l'eau, pour faire face à une menace ou aux conséquences d'accidents, de sécheresse, d'inondations ou à un risque de pénurie ; </w:t>
      </w:r>
    </w:p>
    <w:p w14:paraId="683D47A9" w14:textId="77777777" w:rsidR="009B3666" w:rsidRPr="00C34A67" w:rsidRDefault="009B3666" w:rsidP="009B3666">
      <w:pPr>
        <w:pStyle w:val="NormalWeb"/>
        <w:spacing w:before="120" w:beforeAutospacing="0" w:after="0" w:afterAutospacing="0"/>
        <w:rPr>
          <w:rFonts w:ascii="Liberation Serif" w:eastAsia="NSimSun" w:hAnsi="Liberation Serif" w:cs="Lucida Sans"/>
          <w:sz w:val="20"/>
          <w:szCs w:val="20"/>
          <w:lang w:eastAsia="zh-CN" w:bidi="hi-IN"/>
        </w:rPr>
      </w:pPr>
      <w:r w:rsidRPr="00C34A67">
        <w:rPr>
          <w:rFonts w:ascii="Liberation Serif" w:eastAsia="NSimSun" w:hAnsi="Liberation Serif" w:cs="Lucida Sans"/>
          <w:sz w:val="20"/>
          <w:szCs w:val="20"/>
          <w:lang w:eastAsia="zh-CN" w:bidi="hi-IN"/>
        </w:rPr>
        <w:t>Objectif des modifications proposées :</w:t>
      </w:r>
    </w:p>
    <w:p w14:paraId="11F319A8" w14:textId="72657D21" w:rsidR="009B3666" w:rsidRPr="00C34A67" w:rsidRDefault="009B3666" w:rsidP="009B3666">
      <w:pPr>
        <w:pStyle w:val="NormalWeb"/>
        <w:spacing w:before="120" w:beforeAutospacing="0" w:after="0" w:afterAutospacing="0"/>
        <w:jc w:val="both"/>
        <w:rPr>
          <w:rFonts w:ascii="Liberation Serif" w:eastAsia="NSimSun" w:hAnsi="Liberation Serif" w:cs="Lucida Sans"/>
          <w:sz w:val="20"/>
          <w:szCs w:val="20"/>
          <w:lang w:eastAsia="zh-CN" w:bidi="hi-IN"/>
        </w:rPr>
      </w:pPr>
      <w:r w:rsidRPr="00C34A67">
        <w:rPr>
          <w:rFonts w:ascii="Liberation Serif" w:eastAsia="NSimSun" w:hAnsi="Liberation Serif" w:cs="Lucida Sans"/>
          <w:sz w:val="20"/>
          <w:szCs w:val="20"/>
          <w:lang w:eastAsia="zh-CN" w:bidi="hi-IN"/>
        </w:rPr>
        <w:t>Donner une lisibilité plus grande aux différents types d’arrêtés pris dans le cadre de la gestion de la sécheresse en leur donnant un nom d’usage : arrêté de restriction temporaire des usages / arrêté cadre départemental ou interdépartemental/ arrêté d’orientations du PCB et renforcer l’articulation de ces arrêtés. Accélérer la prise de décision dès lors que les conditions d’un niveau de gravité sont remplies, par une meilleure anticipation dans les arrêtés cadre notamment.</w:t>
      </w:r>
    </w:p>
    <w:p w14:paraId="624C6307" w14:textId="77777777" w:rsidR="009B3666" w:rsidRPr="00C34A67" w:rsidRDefault="009B3666" w:rsidP="009B3666">
      <w:pPr>
        <w:pStyle w:val="NormalWeb"/>
        <w:spacing w:before="120" w:beforeAutospacing="0" w:after="0" w:afterAutospacing="0"/>
        <w:rPr>
          <w:rFonts w:ascii="Liberation Serif" w:eastAsia="NSimSun" w:hAnsi="Liberation Serif" w:cs="Lucida Sans"/>
          <w:sz w:val="20"/>
          <w:szCs w:val="20"/>
          <w:lang w:eastAsia="zh-CN" w:bidi="hi-IN"/>
        </w:rPr>
      </w:pPr>
      <w:r w:rsidRPr="00C34A67">
        <w:rPr>
          <w:rFonts w:ascii="Liberation Serif" w:eastAsia="NSimSun" w:hAnsi="Liberation Serif" w:cs="Lucida Sans"/>
          <w:sz w:val="20"/>
          <w:szCs w:val="20"/>
          <w:lang w:eastAsia="zh-CN" w:bidi="hi-IN"/>
        </w:rPr>
        <w:t>Les orientations nationales sur les mesures générales de restriction à mettre en œuvre, en fonction des usages et sous-usages et du niveau de gravité ont été établies, en lien avec les services concernés, dans un guide technique à venir. Ces orientations ont vocation à figurer dans l’ensemble des arrêtés d’orientation mais ne traitant pas de l’exhaustivité des usages et sous-usages de l’eau, des mesures de restriction complémentaires pourront être ajoutées dans l’arrêté cadre départemental ou interdépartemental. Dans le cas où des mesures de restrictions moins strictes à certains types d'activités ou de sous catégories d'usage sont possibles sous certaines conditions, elles seront inscrites dans l'arrêté cadre et traduites dans l'arrêté de restriction.</w:t>
      </w:r>
    </w:p>
    <w:p w14:paraId="1092799A" w14:textId="0CC00A5A" w:rsidR="00551469" w:rsidRPr="00551469" w:rsidRDefault="00551469" w:rsidP="00551469">
      <w:pPr>
        <w:rPr>
          <w:lang w:eastAsia="fr-FR"/>
        </w:rPr>
      </w:pPr>
    </w:p>
    <w:tbl>
      <w:tblPr>
        <w:tblStyle w:val="Grilledutableau"/>
        <w:tblpPr w:leftFromText="141" w:rightFromText="141" w:vertAnchor="text" w:horzAnchor="margin" w:tblpY="76"/>
        <w:tblW w:w="5000" w:type="pct"/>
        <w:tblLook w:val="04A0" w:firstRow="1" w:lastRow="0" w:firstColumn="1" w:lastColumn="0" w:noHBand="0" w:noVBand="1"/>
      </w:tblPr>
      <w:tblGrid>
        <w:gridCol w:w="4054"/>
        <w:gridCol w:w="5317"/>
        <w:gridCol w:w="4621"/>
      </w:tblGrid>
      <w:tr w:rsidR="004530F5" w14:paraId="1053A363" w14:textId="77777777">
        <w:tc>
          <w:tcPr>
            <w:tcW w:w="4057" w:type="dxa"/>
          </w:tcPr>
          <w:p w14:paraId="4F1216E1" w14:textId="77777777" w:rsidR="004530F5" w:rsidRDefault="00D04F14">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Texte en vigueur</w:t>
            </w:r>
          </w:p>
        </w:tc>
        <w:tc>
          <w:tcPr>
            <w:tcW w:w="5321" w:type="dxa"/>
          </w:tcPr>
          <w:p w14:paraId="04048517" w14:textId="77777777" w:rsidR="004530F5" w:rsidRDefault="00D04F14">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Proposition de texte</w:t>
            </w:r>
          </w:p>
        </w:tc>
        <w:tc>
          <w:tcPr>
            <w:tcW w:w="4624" w:type="dxa"/>
          </w:tcPr>
          <w:p w14:paraId="3C72848B" w14:textId="77777777" w:rsidR="004530F5" w:rsidRDefault="00D04F14">
            <w:pPr>
              <w:spacing w:after="0" w:line="240" w:lineRule="auto"/>
              <w:rPr>
                <w:rFonts w:ascii="Times New Roman" w:eastAsia="Times New Roman" w:hAnsi="Times New Roman" w:cs="Times New Roman"/>
                <w:color w:val="538135" w:themeColor="accent6" w:themeShade="BF"/>
                <w:sz w:val="20"/>
                <w:szCs w:val="20"/>
                <w:lang w:eastAsia="fr-FR"/>
              </w:rPr>
            </w:pPr>
            <w:r>
              <w:rPr>
                <w:rFonts w:ascii="Times New Roman" w:eastAsia="Times New Roman" w:hAnsi="Times New Roman" w:cs="Times New Roman"/>
                <w:color w:val="538135" w:themeColor="accent6" w:themeShade="BF"/>
                <w:sz w:val="20"/>
                <w:szCs w:val="20"/>
                <w:lang w:eastAsia="fr-FR"/>
              </w:rPr>
              <w:t>motifs</w:t>
            </w:r>
          </w:p>
        </w:tc>
      </w:tr>
      <w:tr w:rsidR="004530F5" w14:paraId="7D7B17F1" w14:textId="77777777">
        <w:tc>
          <w:tcPr>
            <w:tcW w:w="4057" w:type="dxa"/>
          </w:tcPr>
          <w:p w14:paraId="73AFCD1A" w14:textId="77777777" w:rsidR="004530F5" w:rsidRDefault="00D04F14">
            <w:pPr>
              <w:pStyle w:val="NormalWeb"/>
              <w:spacing w:after="0"/>
              <w:rPr>
                <w:b/>
                <w:sz w:val="20"/>
                <w:szCs w:val="20"/>
              </w:rPr>
            </w:pPr>
            <w:r>
              <w:rPr>
                <w:b/>
                <w:sz w:val="20"/>
                <w:szCs w:val="20"/>
              </w:rPr>
              <w:t>Sous-section 1 Zones d’alerte</w:t>
            </w:r>
          </w:p>
        </w:tc>
        <w:tc>
          <w:tcPr>
            <w:tcW w:w="5321" w:type="dxa"/>
          </w:tcPr>
          <w:p w14:paraId="3A5C4ADE" w14:textId="77777777" w:rsidR="004530F5" w:rsidRDefault="00D04F14">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Sous-section 1 : zones d’alerte </w:t>
            </w:r>
            <w:r>
              <w:rPr>
                <w:rFonts w:ascii="Times New Roman" w:eastAsia="Times New Roman" w:hAnsi="Times New Roman" w:cs="Times New Roman"/>
                <w:color w:val="4472C4" w:themeColor="accent5"/>
                <w:sz w:val="20"/>
                <w:szCs w:val="20"/>
                <w:lang w:eastAsia="fr-FR"/>
              </w:rPr>
              <w:t>et restrictions provisoires d’usages</w:t>
            </w:r>
          </w:p>
        </w:tc>
        <w:tc>
          <w:tcPr>
            <w:tcW w:w="4624" w:type="dxa"/>
          </w:tcPr>
          <w:p w14:paraId="01B0FA33" w14:textId="77777777" w:rsidR="004530F5" w:rsidRDefault="00D04F14">
            <w:pPr>
              <w:pStyle w:val="NormalWeb"/>
              <w:spacing w:after="0" w:afterAutospacing="0"/>
              <w:rPr>
                <w:color w:val="538135" w:themeColor="accent6" w:themeShade="BF"/>
                <w:sz w:val="20"/>
                <w:szCs w:val="20"/>
              </w:rPr>
            </w:pPr>
            <w:r>
              <w:rPr>
                <w:color w:val="538135" w:themeColor="accent6" w:themeShade="BF"/>
                <w:sz w:val="20"/>
                <w:szCs w:val="20"/>
              </w:rPr>
              <w:t>Que le titre de la sous-section soit plus parlant sur l’objet du zonage et les procédures qui en découlent</w:t>
            </w:r>
          </w:p>
        </w:tc>
      </w:tr>
      <w:tr w:rsidR="004530F5" w14:paraId="4DEF75B7" w14:textId="77777777" w:rsidTr="00551469">
        <w:trPr>
          <w:trHeight w:val="275"/>
        </w:trPr>
        <w:tc>
          <w:tcPr>
            <w:tcW w:w="4057" w:type="dxa"/>
          </w:tcPr>
          <w:p w14:paraId="76527934" w14:textId="77777777" w:rsidR="004530F5" w:rsidRDefault="00D04F14">
            <w:pPr>
              <w:pStyle w:val="NormalWeb"/>
              <w:spacing w:before="120" w:beforeAutospacing="0" w:after="0" w:afterAutospacing="0"/>
              <w:rPr>
                <w:sz w:val="20"/>
                <w:szCs w:val="20"/>
              </w:rPr>
            </w:pPr>
            <w:r>
              <w:rPr>
                <w:b/>
                <w:sz w:val="20"/>
                <w:szCs w:val="20"/>
              </w:rPr>
              <w:t>R.211-66 :</w:t>
            </w:r>
            <w:r>
              <w:rPr>
                <w:sz w:val="20"/>
                <w:szCs w:val="20"/>
              </w:rPr>
              <w:t xml:space="preserve"> Les mesures générales ou particulières prévues par le 1° du II de </w:t>
            </w:r>
            <w:hyperlink r:id="rId8" w:tgtFrame="Code de l'environnement - art. L211-3 (VT)">
              <w:r>
                <w:rPr>
                  <w:rStyle w:val="LienInternet"/>
                  <w:sz w:val="20"/>
                  <w:szCs w:val="20"/>
                </w:rPr>
                <w:t>l'article L. 211-3</w:t>
              </w:r>
            </w:hyperlink>
            <w:r>
              <w:rPr>
                <w:sz w:val="20"/>
                <w:szCs w:val="20"/>
              </w:rPr>
              <w:t xml:space="preserve"> pour faire face à une menace ou aux conséquences d'accidents, de sécheresse, d'inondations ou à un risque de pénurie sont prescrites par arrêté du préfet du département. Elles peuvent imposer des opérations de stockage ou de déstockage de l'eau. Dans ce cas, l'arrêté imposant l'opération est porté à la connaissance de l'exploitant par tous moyens adaptés aux circonstances. </w:t>
            </w:r>
          </w:p>
          <w:p w14:paraId="5500AC03" w14:textId="77777777" w:rsidR="004530F5" w:rsidRDefault="00D04F14">
            <w:pPr>
              <w:pStyle w:val="NormalWeb"/>
              <w:spacing w:before="120" w:beforeAutospacing="0" w:after="0" w:afterAutospacing="0"/>
              <w:rPr>
                <w:sz w:val="20"/>
                <w:szCs w:val="20"/>
              </w:rPr>
            </w:pPr>
            <w:r>
              <w:rPr>
                <w:sz w:val="20"/>
                <w:szCs w:val="20"/>
              </w:rPr>
              <w:t xml:space="preserve">Ces mesures, proportionnées au but recherché, ne peuvent être prescrites que pour une période </w:t>
            </w:r>
            <w:r>
              <w:rPr>
                <w:sz w:val="20"/>
                <w:szCs w:val="20"/>
              </w:rPr>
              <w:lastRenderedPageBreak/>
              <w:t>limitée, éventuellement renouvelable. Dès lors que les conditions d'écoulement ou d'approvisionnement en eau redeviennent normales, il est mis fin, s'il y a lieu graduellement, aux mesures prescrites. Celles-ci ne font pas obstacle aux facultés d'indemnisation ouvertes par les droits en vigueur.</w:t>
            </w:r>
          </w:p>
          <w:p w14:paraId="0E1DFDAC" w14:textId="77777777" w:rsidR="004530F5" w:rsidRDefault="004530F5">
            <w:pPr>
              <w:pStyle w:val="NormalWeb"/>
              <w:spacing w:before="280" w:after="0"/>
              <w:rPr>
                <w:b/>
                <w:sz w:val="20"/>
                <w:szCs w:val="20"/>
              </w:rPr>
            </w:pPr>
          </w:p>
          <w:p w14:paraId="3DFCB49A" w14:textId="77777777" w:rsidR="00B11C6F" w:rsidRDefault="00B11C6F">
            <w:pPr>
              <w:pStyle w:val="NormalWeb"/>
              <w:spacing w:before="280" w:after="0"/>
              <w:rPr>
                <w:b/>
                <w:sz w:val="20"/>
                <w:szCs w:val="20"/>
              </w:rPr>
            </w:pPr>
          </w:p>
          <w:p w14:paraId="2991CDD0" w14:textId="77777777" w:rsidR="00B11C6F" w:rsidRDefault="00B11C6F">
            <w:pPr>
              <w:pStyle w:val="NormalWeb"/>
              <w:spacing w:before="280" w:after="0"/>
              <w:rPr>
                <w:b/>
                <w:sz w:val="20"/>
                <w:szCs w:val="20"/>
              </w:rPr>
            </w:pPr>
          </w:p>
          <w:p w14:paraId="5330588E" w14:textId="77777777" w:rsidR="00B11C6F" w:rsidRDefault="00B11C6F">
            <w:pPr>
              <w:pStyle w:val="NormalWeb"/>
              <w:spacing w:before="280" w:after="0"/>
              <w:rPr>
                <w:b/>
                <w:sz w:val="20"/>
                <w:szCs w:val="20"/>
              </w:rPr>
            </w:pPr>
          </w:p>
          <w:p w14:paraId="2636902E" w14:textId="4565DA52" w:rsidR="00B11C6F" w:rsidRDefault="00B11C6F">
            <w:pPr>
              <w:pStyle w:val="NormalWeb"/>
              <w:spacing w:before="280" w:after="0"/>
              <w:rPr>
                <w:b/>
                <w:sz w:val="20"/>
                <w:szCs w:val="20"/>
              </w:rPr>
            </w:pPr>
          </w:p>
          <w:p w14:paraId="15D3CD21" w14:textId="7D95FE65" w:rsidR="00B11C6F" w:rsidRDefault="00B11C6F">
            <w:pPr>
              <w:pStyle w:val="NormalWeb"/>
              <w:spacing w:before="280" w:after="0"/>
              <w:rPr>
                <w:b/>
                <w:sz w:val="20"/>
                <w:szCs w:val="20"/>
              </w:rPr>
            </w:pPr>
          </w:p>
        </w:tc>
        <w:tc>
          <w:tcPr>
            <w:tcW w:w="5321" w:type="dxa"/>
          </w:tcPr>
          <w:p w14:paraId="79711CE3" w14:textId="4E4D1925" w:rsidR="004530F5" w:rsidRPr="00F73255" w:rsidRDefault="00D04F14" w:rsidP="00E5783C">
            <w:pPr>
              <w:pStyle w:val="NormalWeb"/>
              <w:spacing w:before="120" w:beforeAutospacing="0" w:after="0" w:afterAutospacing="0"/>
              <w:jc w:val="both"/>
              <w:rPr>
                <w:color w:val="000000" w:themeColor="text1"/>
                <w:sz w:val="20"/>
                <w:szCs w:val="20"/>
              </w:rPr>
            </w:pPr>
            <w:r w:rsidRPr="00F73255">
              <w:rPr>
                <w:b/>
                <w:color w:val="000000" w:themeColor="text1"/>
                <w:sz w:val="20"/>
                <w:szCs w:val="20"/>
              </w:rPr>
              <w:lastRenderedPageBreak/>
              <w:t>R.211-66</w:t>
            </w:r>
            <w:r w:rsidRPr="00F73255">
              <w:rPr>
                <w:color w:val="000000" w:themeColor="text1"/>
                <w:sz w:val="20"/>
                <w:szCs w:val="20"/>
              </w:rPr>
              <w:t xml:space="preserve"> : Les mesures générales ou particulières prévues par le 1° du II de l'article L. 211-3 pour faire face à une menace ou aux conséquences d'accidents, de sécheresse, d'inondations ou à un risque de pénurie sont prescrites par arrêté du préfet du département, </w:t>
            </w:r>
            <w:r w:rsidRPr="00F73255">
              <w:rPr>
                <w:color w:val="0070C0"/>
                <w:sz w:val="20"/>
                <w:szCs w:val="20"/>
              </w:rPr>
              <w:t xml:space="preserve">dit arrêté de restriction temporaire des usages de l’eau. </w:t>
            </w:r>
            <w:r w:rsidRPr="00F73255">
              <w:rPr>
                <w:color w:val="000000" w:themeColor="text1"/>
                <w:sz w:val="20"/>
                <w:szCs w:val="20"/>
              </w:rPr>
              <w:t xml:space="preserve">Elles peuvent imposer </w:t>
            </w:r>
            <w:r w:rsidR="00831173" w:rsidRPr="00F73255">
              <w:rPr>
                <w:color w:val="0070C0"/>
                <w:sz w:val="20"/>
                <w:szCs w:val="20"/>
              </w:rPr>
              <w:t xml:space="preserve">la communication </w:t>
            </w:r>
            <w:r w:rsidRPr="00F73255">
              <w:rPr>
                <w:color w:val="0070C0"/>
                <w:sz w:val="20"/>
                <w:szCs w:val="20"/>
              </w:rPr>
              <w:t>d’information</w:t>
            </w:r>
            <w:r w:rsidR="00831173" w:rsidRPr="00F73255">
              <w:rPr>
                <w:color w:val="0070C0"/>
                <w:sz w:val="20"/>
                <w:szCs w:val="20"/>
              </w:rPr>
              <w:t>s</w:t>
            </w:r>
            <w:r w:rsidRPr="00F73255">
              <w:rPr>
                <w:color w:val="0070C0"/>
                <w:sz w:val="20"/>
                <w:szCs w:val="20"/>
              </w:rPr>
              <w:t xml:space="preserve"> sur les prélèvements selon une fréquence adaptée au besoin de suivi de la situation</w:t>
            </w:r>
            <w:r w:rsidR="00831173" w:rsidRPr="00F73255">
              <w:rPr>
                <w:color w:val="0070C0"/>
                <w:sz w:val="20"/>
                <w:szCs w:val="20"/>
              </w:rPr>
              <w:t xml:space="preserve">. </w:t>
            </w:r>
            <w:r w:rsidR="00831173" w:rsidRPr="00F73255">
              <w:rPr>
                <w:sz w:val="20"/>
                <w:szCs w:val="20"/>
              </w:rPr>
              <w:t>Elles peuvent aussi imposer</w:t>
            </w:r>
            <w:r w:rsidRPr="00F73255">
              <w:rPr>
                <w:sz w:val="20"/>
                <w:szCs w:val="20"/>
              </w:rPr>
              <w:t xml:space="preserve"> des opérations de stockage ou de déstockage de l'eau. </w:t>
            </w:r>
            <w:r w:rsidRPr="00F73255">
              <w:rPr>
                <w:color w:val="000000" w:themeColor="text1"/>
                <w:sz w:val="20"/>
                <w:szCs w:val="20"/>
              </w:rPr>
              <w:t>Dans ce cas, l'arrêté imposant l'opération est porté à la connaissance de l'exploitant par tous mo</w:t>
            </w:r>
            <w:r w:rsidR="00F73255" w:rsidRPr="00F73255">
              <w:rPr>
                <w:color w:val="000000" w:themeColor="text1"/>
                <w:sz w:val="20"/>
                <w:szCs w:val="20"/>
              </w:rPr>
              <w:t>yens adaptés aux circonstances</w:t>
            </w:r>
          </w:p>
          <w:p w14:paraId="5C3F6057" w14:textId="72B7B75E" w:rsidR="004530F5" w:rsidRDefault="00D04F14" w:rsidP="00E5783C">
            <w:pPr>
              <w:pStyle w:val="NormalWeb"/>
              <w:spacing w:before="120" w:beforeAutospacing="0" w:after="0" w:afterAutospacing="0"/>
              <w:jc w:val="both"/>
              <w:rPr>
                <w:color w:val="0070C0"/>
                <w:sz w:val="20"/>
                <w:szCs w:val="20"/>
              </w:rPr>
            </w:pPr>
            <w:r w:rsidRPr="00F73255">
              <w:rPr>
                <w:sz w:val="20"/>
                <w:szCs w:val="20"/>
              </w:rPr>
              <w:t xml:space="preserve">Ces mesures, proportionnées au but recherché, ne peuvent être prescrites que pour une période limitée, éventuellement </w:t>
            </w:r>
            <w:r w:rsidRPr="00F73255">
              <w:rPr>
                <w:sz w:val="20"/>
                <w:szCs w:val="20"/>
              </w:rPr>
              <w:lastRenderedPageBreak/>
              <w:t xml:space="preserve">renouvelable. Dès lors que les conditions d'écoulement ou d'approvisionnement en eau redeviennent normales, il est mis fin, s'il y a lieu graduellement, aux mesures prescrites. Celles-ci ne font pas obstacle aux facultés d'indemnisation ouvertes par les droits en vigueur. </w:t>
            </w:r>
            <w:r w:rsidR="00831173" w:rsidRPr="00F73255">
              <w:rPr>
                <w:color w:val="0070C0"/>
                <w:sz w:val="20"/>
                <w:szCs w:val="20"/>
              </w:rPr>
              <w:t xml:space="preserve">Concernant les situations de </w:t>
            </w:r>
            <w:r w:rsidRPr="00F73255">
              <w:rPr>
                <w:color w:val="0070C0"/>
                <w:sz w:val="20"/>
                <w:szCs w:val="20"/>
              </w:rPr>
              <w:t>sécheresse, les mesures sont graduées selon quatre niveaux de gravité: vigilance, alerte, alerte renforcée et crise</w:t>
            </w:r>
            <w:r w:rsidR="00BC17FD" w:rsidRPr="00F73255">
              <w:rPr>
                <w:color w:val="0070C0"/>
                <w:sz w:val="20"/>
                <w:szCs w:val="20"/>
              </w:rPr>
              <w:t>. Ces niveaux sont liés</w:t>
            </w:r>
            <w:r w:rsidR="001E022C" w:rsidRPr="00F73255">
              <w:rPr>
                <w:color w:val="0070C0"/>
                <w:sz w:val="20"/>
                <w:szCs w:val="20"/>
              </w:rPr>
              <w:t xml:space="preserve"> à des conditions de déclenchement</w:t>
            </w:r>
            <w:r w:rsidR="00BC17FD" w:rsidRPr="00F73255">
              <w:rPr>
                <w:color w:val="0070C0"/>
                <w:sz w:val="20"/>
                <w:szCs w:val="20"/>
              </w:rPr>
              <w:t xml:space="preserve"> caractérisées par des points de surveillance et des indicateurs relatifs à l’état de la ressource en eau.</w:t>
            </w:r>
          </w:p>
          <w:p w14:paraId="21D0A21F" w14:textId="7A3DBBA7" w:rsidR="004530F5" w:rsidRDefault="00D04F14" w:rsidP="00E5783C">
            <w:pPr>
              <w:pStyle w:val="NormalWeb"/>
              <w:spacing w:before="120" w:beforeAutospacing="0" w:after="0" w:afterAutospacing="0"/>
              <w:jc w:val="both"/>
              <w:rPr>
                <w:color w:val="0070C0"/>
                <w:sz w:val="20"/>
                <w:szCs w:val="20"/>
              </w:rPr>
            </w:pPr>
            <w:r w:rsidRPr="00F73255">
              <w:rPr>
                <w:color w:val="0070C0"/>
                <w:sz w:val="20"/>
                <w:szCs w:val="20"/>
              </w:rPr>
              <w:t>Les mesures de restriction peuvent aller jusqu’à l’arrêt total des prélèvements, et sont définies par usage ou sous-catégor</w:t>
            </w:r>
            <w:r w:rsidR="00831173" w:rsidRPr="00F73255">
              <w:rPr>
                <w:color w:val="0070C0"/>
                <w:sz w:val="20"/>
                <w:szCs w:val="20"/>
              </w:rPr>
              <w:t>ies d’usage ou type d’activités, selon des considérations économiques et environnementales, dont les conditions sont fixées dans les arrêtés-cadre prévus à l’article R211-67.</w:t>
            </w:r>
          </w:p>
          <w:p w14:paraId="6E218F17" w14:textId="54183E33" w:rsidR="004530F5" w:rsidRPr="00F73255" w:rsidRDefault="00F73255" w:rsidP="007E5EB5">
            <w:pPr>
              <w:pStyle w:val="NormalWeb"/>
              <w:spacing w:before="120" w:beforeAutospacing="0" w:after="0" w:afterAutospacing="0"/>
              <w:jc w:val="both"/>
              <w:rPr>
                <w:color w:val="0070C0"/>
                <w:sz w:val="20"/>
                <w:szCs w:val="20"/>
              </w:rPr>
            </w:pPr>
            <w:r w:rsidRPr="00F73255">
              <w:rPr>
                <w:color w:val="0070C0"/>
                <w:sz w:val="20"/>
                <w:szCs w:val="20"/>
              </w:rPr>
              <w:t>L</w:t>
            </w:r>
            <w:r w:rsidR="00D04F14">
              <w:rPr>
                <w:color w:val="0070C0"/>
                <w:sz w:val="20"/>
                <w:szCs w:val="20"/>
              </w:rPr>
              <w:t xml:space="preserve">e préfet peut, à titre exceptionnel, </w:t>
            </w:r>
            <w:r w:rsidR="008200C2">
              <w:rPr>
                <w:color w:val="0070C0"/>
                <w:sz w:val="20"/>
                <w:szCs w:val="20"/>
              </w:rPr>
              <w:t>à la demande d’un usager</w:t>
            </w:r>
            <w:r w:rsidR="007641A7">
              <w:rPr>
                <w:color w:val="0070C0"/>
                <w:sz w:val="20"/>
                <w:szCs w:val="20"/>
              </w:rPr>
              <w:t xml:space="preserve">, </w:t>
            </w:r>
            <w:r w:rsidR="00C50BEA">
              <w:rPr>
                <w:color w:val="0070C0"/>
                <w:sz w:val="20"/>
                <w:szCs w:val="20"/>
              </w:rPr>
              <w:t>adapter</w:t>
            </w:r>
            <w:r w:rsidR="00654496">
              <w:rPr>
                <w:color w:val="0070C0"/>
                <w:sz w:val="20"/>
                <w:szCs w:val="20"/>
              </w:rPr>
              <w:t xml:space="preserve"> les mesures de restriction </w:t>
            </w:r>
            <w:r w:rsidR="00EA0D7A">
              <w:rPr>
                <w:color w:val="0070C0"/>
                <w:sz w:val="20"/>
                <w:szCs w:val="20"/>
              </w:rPr>
              <w:t>s’appliquant à son usage,</w:t>
            </w:r>
            <w:r w:rsidR="00D04F14">
              <w:rPr>
                <w:color w:val="0070C0"/>
                <w:sz w:val="20"/>
                <w:szCs w:val="20"/>
              </w:rPr>
              <w:t xml:space="preserve"> </w:t>
            </w:r>
            <w:r w:rsidR="008200C2">
              <w:rPr>
                <w:color w:val="0070C0"/>
                <w:sz w:val="20"/>
                <w:szCs w:val="20"/>
              </w:rPr>
              <w:t xml:space="preserve">dans les conditions </w:t>
            </w:r>
            <w:r w:rsidR="00D04F14" w:rsidRPr="00F73255">
              <w:rPr>
                <w:color w:val="0070C0"/>
                <w:sz w:val="20"/>
                <w:szCs w:val="20"/>
              </w:rPr>
              <w:t xml:space="preserve">définies </w:t>
            </w:r>
            <w:r w:rsidR="008200C2" w:rsidRPr="00F73255">
              <w:rPr>
                <w:color w:val="0070C0"/>
                <w:sz w:val="20"/>
                <w:szCs w:val="20"/>
              </w:rPr>
              <w:t xml:space="preserve">par </w:t>
            </w:r>
            <w:r w:rsidR="00D04F14" w:rsidRPr="00F73255">
              <w:rPr>
                <w:color w:val="0070C0"/>
                <w:sz w:val="20"/>
                <w:szCs w:val="20"/>
              </w:rPr>
              <w:t>l’arrêté cadre en vigueur</w:t>
            </w:r>
            <w:r w:rsidR="00F2458D">
              <w:rPr>
                <w:color w:val="0070C0"/>
                <w:sz w:val="20"/>
                <w:szCs w:val="20"/>
              </w:rPr>
              <w:t xml:space="preserve">. </w:t>
            </w:r>
            <w:r w:rsidR="00BD1ACE">
              <w:rPr>
                <w:color w:val="0070C0"/>
                <w:sz w:val="20"/>
                <w:szCs w:val="20"/>
              </w:rPr>
              <w:t xml:space="preserve">Cette décision </w:t>
            </w:r>
            <w:r w:rsidR="00F2458D">
              <w:rPr>
                <w:color w:val="0070C0"/>
                <w:sz w:val="20"/>
                <w:szCs w:val="20"/>
              </w:rPr>
              <w:t>est alors notifié</w:t>
            </w:r>
            <w:r w:rsidR="00BD1ACE">
              <w:rPr>
                <w:color w:val="0070C0"/>
                <w:sz w:val="20"/>
                <w:szCs w:val="20"/>
              </w:rPr>
              <w:t>e</w:t>
            </w:r>
            <w:r w:rsidR="00F2458D">
              <w:rPr>
                <w:color w:val="0070C0"/>
                <w:sz w:val="20"/>
                <w:szCs w:val="20"/>
              </w:rPr>
              <w:t xml:space="preserve"> à l’intéressé et publié</w:t>
            </w:r>
            <w:r w:rsidR="00BD1ACE">
              <w:rPr>
                <w:color w:val="0070C0"/>
                <w:sz w:val="20"/>
                <w:szCs w:val="20"/>
              </w:rPr>
              <w:t>e</w:t>
            </w:r>
            <w:r w:rsidR="00F2458D">
              <w:rPr>
                <w:color w:val="0070C0"/>
                <w:sz w:val="20"/>
                <w:szCs w:val="20"/>
              </w:rPr>
              <w:t xml:space="preserve"> sur le site internet des services de l’Etat dans le département concerné.</w:t>
            </w:r>
          </w:p>
        </w:tc>
        <w:tc>
          <w:tcPr>
            <w:tcW w:w="4624" w:type="dxa"/>
          </w:tcPr>
          <w:p w14:paraId="56FF72D3" w14:textId="415D66CA" w:rsidR="004530F5" w:rsidRPr="009B3666" w:rsidRDefault="00D04F14">
            <w:pPr>
              <w:pStyle w:val="NormalWeb"/>
              <w:spacing w:before="120" w:beforeAutospacing="0" w:after="0" w:afterAutospacing="0"/>
              <w:jc w:val="both"/>
              <w:rPr>
                <w:rFonts w:ascii="Liberation Serif" w:eastAsia="NSimSun" w:hAnsi="Liberation Serif" w:cs="Lucida Sans"/>
                <w:color w:val="538135" w:themeColor="accent6" w:themeShade="BF"/>
                <w:sz w:val="20"/>
                <w:szCs w:val="20"/>
                <w:lang w:eastAsia="zh-CN" w:bidi="hi-IN"/>
              </w:rPr>
            </w:pPr>
            <w:r>
              <w:rPr>
                <w:rFonts w:ascii="Liberation Serif" w:eastAsia="NSimSun" w:hAnsi="Liberation Serif" w:cs="Lucida Sans"/>
                <w:color w:val="538135" w:themeColor="accent6" w:themeShade="BF"/>
                <w:sz w:val="20"/>
                <w:szCs w:val="20"/>
                <w:lang w:eastAsia="zh-CN" w:bidi="hi-IN"/>
              </w:rPr>
              <w:lastRenderedPageBreak/>
              <w:t xml:space="preserve">Donner explicitement la possibilité d’exiger par les arrêtés « de restriction » une remontée d’information fréquente sur les prélèvements réels dans la période de suivi (à partir de l’alerte ou alerte renforcée par exemple).  </w:t>
            </w:r>
            <w:r w:rsidR="009B3666">
              <w:rPr>
                <w:rFonts w:ascii="Liberation Serif" w:eastAsia="NSimSun" w:hAnsi="Liberation Serif" w:cs="Lucida Sans"/>
                <w:color w:val="538135" w:themeColor="accent6" w:themeShade="BF"/>
                <w:sz w:val="20"/>
                <w:szCs w:val="20"/>
                <w:lang w:eastAsia="zh-CN" w:bidi="hi-IN"/>
              </w:rPr>
              <w:t xml:space="preserve"> </w:t>
            </w:r>
            <w:r w:rsidR="009B3666" w:rsidRPr="009B3666">
              <w:rPr>
                <w:rFonts w:ascii="Liberation Serif" w:eastAsia="NSimSun" w:hAnsi="Liberation Serif" w:cs="Lucida Sans"/>
                <w:i/>
                <w:color w:val="538135" w:themeColor="accent6" w:themeShade="BF"/>
                <w:sz w:val="20"/>
                <w:szCs w:val="20"/>
                <w:lang w:eastAsia="zh-CN" w:bidi="hi-IN"/>
              </w:rPr>
              <w:t>L’arrêté cadre définit les modalités de remontée d’information régulière des volumes d’eau prélevés. Selon les niveaux de gravité et les différents usages, la fréquence de la transmission pourra être précisée.</w:t>
            </w:r>
          </w:p>
          <w:p w14:paraId="6D263E46" w14:textId="77777777" w:rsidR="009B3666" w:rsidRDefault="009B3666">
            <w:pPr>
              <w:pStyle w:val="NormalWeb"/>
              <w:spacing w:before="120" w:beforeAutospacing="0" w:after="0" w:afterAutospacing="0"/>
              <w:rPr>
                <w:rFonts w:ascii="Liberation Serif" w:eastAsia="NSimSun" w:hAnsi="Liberation Serif" w:cs="Lucida Sans"/>
                <w:color w:val="538135" w:themeColor="accent6" w:themeShade="BF"/>
                <w:sz w:val="20"/>
                <w:szCs w:val="20"/>
                <w:lang w:eastAsia="zh-CN" w:bidi="hi-IN"/>
              </w:rPr>
            </w:pPr>
          </w:p>
          <w:p w14:paraId="4C863D1A" w14:textId="77777777" w:rsidR="009B3666" w:rsidRDefault="009B3666">
            <w:pPr>
              <w:pStyle w:val="NormalWeb"/>
              <w:spacing w:before="120" w:beforeAutospacing="0" w:after="0" w:afterAutospacing="0"/>
              <w:rPr>
                <w:rFonts w:ascii="Liberation Serif" w:eastAsia="NSimSun" w:hAnsi="Liberation Serif" w:cs="Lucida Sans"/>
                <w:color w:val="538135" w:themeColor="accent6" w:themeShade="BF"/>
                <w:sz w:val="20"/>
                <w:szCs w:val="20"/>
                <w:lang w:eastAsia="zh-CN" w:bidi="hi-IN"/>
              </w:rPr>
            </w:pPr>
          </w:p>
          <w:p w14:paraId="38C619DF" w14:textId="77777777" w:rsidR="009B3666" w:rsidRDefault="009B3666">
            <w:pPr>
              <w:pStyle w:val="NormalWeb"/>
              <w:spacing w:before="120" w:beforeAutospacing="0" w:after="0" w:afterAutospacing="0"/>
              <w:rPr>
                <w:rFonts w:ascii="Liberation Serif" w:eastAsia="NSimSun" w:hAnsi="Liberation Serif" w:cs="Lucida Sans"/>
                <w:color w:val="538135" w:themeColor="accent6" w:themeShade="BF"/>
                <w:sz w:val="20"/>
                <w:szCs w:val="20"/>
                <w:lang w:eastAsia="zh-CN" w:bidi="hi-IN"/>
              </w:rPr>
            </w:pPr>
          </w:p>
          <w:p w14:paraId="20E4E7AA" w14:textId="6A22D6E1" w:rsidR="004530F5" w:rsidRDefault="00D04F14">
            <w:pPr>
              <w:pStyle w:val="NormalWeb"/>
              <w:spacing w:before="120" w:beforeAutospacing="0" w:after="0" w:afterAutospacing="0"/>
              <w:rPr>
                <w:rFonts w:ascii="Liberation Serif" w:eastAsia="NSimSun" w:hAnsi="Liberation Serif" w:cs="Lucida Sans"/>
                <w:color w:val="538135" w:themeColor="accent6" w:themeShade="BF"/>
                <w:sz w:val="20"/>
                <w:szCs w:val="20"/>
                <w:lang w:eastAsia="zh-CN" w:bidi="hi-IN"/>
              </w:rPr>
            </w:pPr>
            <w:r>
              <w:rPr>
                <w:rFonts w:ascii="Liberation Serif" w:eastAsia="NSimSun" w:hAnsi="Liberation Serif" w:cs="Lucida Sans"/>
                <w:color w:val="538135" w:themeColor="accent6" w:themeShade="BF"/>
                <w:sz w:val="20"/>
                <w:szCs w:val="20"/>
                <w:lang w:eastAsia="zh-CN" w:bidi="hi-IN"/>
              </w:rPr>
              <w:lastRenderedPageBreak/>
              <w:t>Fixer réglementairement les quatre niveaux de gravité afin de permettre un suivi national de la sécheresse harmonisé</w:t>
            </w:r>
            <w:r w:rsidR="006B3AAA">
              <w:rPr>
                <w:rFonts w:ascii="Liberation Serif" w:eastAsia="NSimSun" w:hAnsi="Liberation Serif" w:cs="Lucida Sans"/>
                <w:color w:val="538135" w:themeColor="accent6" w:themeShade="BF"/>
                <w:sz w:val="20"/>
                <w:szCs w:val="20"/>
                <w:lang w:eastAsia="zh-CN" w:bidi="hi-IN"/>
              </w:rPr>
              <w:t xml:space="preserve"> (carte Propluvia)</w:t>
            </w:r>
            <w:r w:rsidR="009B3666">
              <w:rPr>
                <w:rFonts w:ascii="Liberation Serif" w:eastAsia="NSimSun" w:hAnsi="Liberation Serif" w:cs="Lucida Sans"/>
                <w:color w:val="538135" w:themeColor="accent6" w:themeShade="BF"/>
                <w:sz w:val="20"/>
                <w:szCs w:val="20"/>
                <w:lang w:eastAsia="zh-CN" w:bidi="hi-IN"/>
              </w:rPr>
              <w:t xml:space="preserve"> et préciser le cadre des</w:t>
            </w:r>
            <w:r w:rsidR="006B3AAA">
              <w:rPr>
                <w:rFonts w:ascii="Liberation Serif" w:eastAsia="NSimSun" w:hAnsi="Liberation Serif" w:cs="Lucida Sans"/>
                <w:color w:val="538135" w:themeColor="accent6" w:themeShade="BF"/>
                <w:sz w:val="20"/>
                <w:szCs w:val="20"/>
                <w:lang w:eastAsia="zh-CN" w:bidi="hi-IN"/>
              </w:rPr>
              <w:t xml:space="preserve"> conditions de déclenchement. </w:t>
            </w:r>
          </w:p>
          <w:p w14:paraId="4503B60D" w14:textId="77777777" w:rsidR="004530F5" w:rsidRDefault="004530F5">
            <w:pPr>
              <w:pStyle w:val="NormalWeb"/>
              <w:spacing w:before="120" w:beforeAutospacing="0" w:after="0" w:afterAutospacing="0"/>
              <w:rPr>
                <w:rFonts w:ascii="Liberation Serif" w:eastAsia="NSimSun" w:hAnsi="Liberation Serif" w:cs="Lucida Sans"/>
                <w:color w:val="538135" w:themeColor="accent6" w:themeShade="BF"/>
                <w:sz w:val="20"/>
                <w:szCs w:val="20"/>
                <w:lang w:eastAsia="zh-CN" w:bidi="hi-IN"/>
              </w:rPr>
            </w:pPr>
          </w:p>
          <w:p w14:paraId="5ACA3432" w14:textId="689C68D1" w:rsidR="004530F5" w:rsidRDefault="007641A7">
            <w:pPr>
              <w:pStyle w:val="NormalWeb"/>
              <w:spacing w:before="120" w:beforeAutospacing="0" w:after="0" w:afterAutospacing="0"/>
              <w:rPr>
                <w:rFonts w:ascii="Liberation Serif" w:eastAsia="NSimSun" w:hAnsi="Liberation Serif" w:cs="Lucida Sans"/>
                <w:color w:val="538135" w:themeColor="accent6" w:themeShade="BF"/>
                <w:sz w:val="20"/>
                <w:szCs w:val="20"/>
                <w:lang w:eastAsia="zh-CN" w:bidi="hi-IN"/>
              </w:rPr>
            </w:pPr>
            <w:r>
              <w:rPr>
                <w:rFonts w:ascii="Liberation Serif" w:eastAsia="NSimSun" w:hAnsi="Liberation Serif" w:cs="Lucida Sans"/>
                <w:color w:val="538135" w:themeColor="accent6" w:themeShade="BF"/>
                <w:sz w:val="20"/>
                <w:szCs w:val="20"/>
                <w:lang w:eastAsia="zh-CN" w:bidi="hi-IN"/>
              </w:rPr>
              <w:t xml:space="preserve">Préciser que le préfet peut adapter les mesures de restriction </w:t>
            </w:r>
            <w:r w:rsidR="00D04F14">
              <w:rPr>
                <w:rFonts w:ascii="Liberation Serif" w:eastAsia="NSimSun" w:hAnsi="Liberation Serif" w:cs="Lucida Sans"/>
                <w:color w:val="538135" w:themeColor="accent6" w:themeShade="BF"/>
                <w:sz w:val="20"/>
                <w:szCs w:val="20"/>
                <w:lang w:eastAsia="zh-CN" w:bidi="hi-IN"/>
              </w:rPr>
              <w:t xml:space="preserve">pour un usager, qui doivent être prises en conformité avec les orientations du préfet coordonnateur de bassin et l’arrêté cadre en vigueur sur le territoire. Quel que soit l'usage, ces mesures doivent être restreintes au minimum sous peine de limiter l’impact attendu des mesures de restriction et d’entraîner des disparités importantes entre usagers. Elles ne seront autant que possible qu’envisagées au niveau de crise. </w:t>
            </w:r>
          </w:p>
          <w:p w14:paraId="56D53F6F" w14:textId="6EB1A6F3" w:rsidR="004530F5" w:rsidRDefault="00D04F14" w:rsidP="007E5EB5">
            <w:pPr>
              <w:pStyle w:val="NormalWeb"/>
              <w:spacing w:before="120" w:beforeAutospacing="0" w:after="0" w:afterAutospacing="0"/>
              <w:rPr>
                <w:rFonts w:ascii="Liberation Serif" w:eastAsia="NSimSun" w:hAnsi="Liberation Serif" w:cs="Lucida Sans"/>
                <w:color w:val="538135" w:themeColor="accent6" w:themeShade="BF"/>
                <w:sz w:val="20"/>
                <w:szCs w:val="20"/>
                <w:lang w:eastAsia="zh-CN" w:bidi="hi-IN"/>
              </w:rPr>
            </w:pPr>
            <w:r>
              <w:rPr>
                <w:rFonts w:ascii="Liberation Serif" w:eastAsia="NSimSun" w:hAnsi="Liberation Serif" w:cs="Lucida Sans"/>
                <w:color w:val="538135" w:themeColor="accent6" w:themeShade="BF"/>
                <w:sz w:val="20"/>
                <w:szCs w:val="20"/>
                <w:lang w:eastAsia="zh-CN" w:bidi="hi-IN"/>
              </w:rPr>
              <w:t>Cette réforme devrait assurer une plus grands visibilité et obligation de justification des diverses dérogations actuellement accordées sans véritable cadrage ni publicité.</w:t>
            </w:r>
          </w:p>
        </w:tc>
      </w:tr>
    </w:tbl>
    <w:p w14:paraId="7683D900" w14:textId="77777777" w:rsidR="004530F5" w:rsidRDefault="004530F5">
      <w:pPr>
        <w:spacing w:before="120" w:after="0"/>
        <w:rPr>
          <w:rFonts w:ascii="Times New Roman" w:hAnsi="Times New Roman" w:cs="Times New Roman"/>
          <w:sz w:val="20"/>
          <w:szCs w:val="20"/>
        </w:rPr>
      </w:pPr>
    </w:p>
    <w:tbl>
      <w:tblPr>
        <w:tblStyle w:val="Grilledutableau"/>
        <w:tblpPr w:leftFromText="141" w:rightFromText="141" w:vertAnchor="text" w:horzAnchor="margin" w:tblpY="76"/>
        <w:tblW w:w="14454" w:type="dxa"/>
        <w:tblLook w:val="04A0" w:firstRow="1" w:lastRow="0" w:firstColumn="1" w:lastColumn="0" w:noHBand="0" w:noVBand="1"/>
      </w:tblPr>
      <w:tblGrid>
        <w:gridCol w:w="4106"/>
        <w:gridCol w:w="5339"/>
        <w:gridCol w:w="5009"/>
      </w:tblGrid>
      <w:tr w:rsidR="004530F5" w14:paraId="232F6582" w14:textId="77777777">
        <w:tc>
          <w:tcPr>
            <w:tcW w:w="4106" w:type="dxa"/>
          </w:tcPr>
          <w:p w14:paraId="3B28C7F1" w14:textId="77777777" w:rsidR="004530F5" w:rsidRDefault="00D04F14">
            <w:pPr>
              <w:spacing w:before="120"/>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Texte en vigueur</w:t>
            </w:r>
          </w:p>
        </w:tc>
        <w:tc>
          <w:tcPr>
            <w:tcW w:w="5339" w:type="dxa"/>
          </w:tcPr>
          <w:p w14:paraId="268B349B" w14:textId="77777777" w:rsidR="004530F5" w:rsidRDefault="00D04F14">
            <w:pPr>
              <w:spacing w:before="120"/>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Proposition de texte</w:t>
            </w:r>
          </w:p>
        </w:tc>
        <w:tc>
          <w:tcPr>
            <w:tcW w:w="5009" w:type="dxa"/>
          </w:tcPr>
          <w:p w14:paraId="456DDFCC" w14:textId="77777777" w:rsidR="004530F5" w:rsidRDefault="00D04F14">
            <w:pPr>
              <w:spacing w:before="120"/>
              <w:rPr>
                <w:rFonts w:ascii="Times New Roman" w:eastAsia="Times New Roman" w:hAnsi="Times New Roman" w:cs="Times New Roman"/>
                <w:color w:val="538135" w:themeColor="accent6" w:themeShade="BF"/>
                <w:sz w:val="20"/>
                <w:szCs w:val="20"/>
                <w:lang w:eastAsia="fr-FR"/>
              </w:rPr>
            </w:pPr>
            <w:r>
              <w:rPr>
                <w:rFonts w:ascii="Times New Roman" w:eastAsia="Times New Roman" w:hAnsi="Times New Roman" w:cs="Times New Roman"/>
                <w:color w:val="538135" w:themeColor="accent6" w:themeShade="BF"/>
                <w:sz w:val="20"/>
                <w:szCs w:val="20"/>
                <w:lang w:eastAsia="fr-FR"/>
              </w:rPr>
              <w:t>motifs</w:t>
            </w:r>
          </w:p>
        </w:tc>
      </w:tr>
      <w:tr w:rsidR="004530F5" w14:paraId="0634C142" w14:textId="77777777">
        <w:trPr>
          <w:trHeight w:val="2685"/>
        </w:trPr>
        <w:tc>
          <w:tcPr>
            <w:tcW w:w="4106" w:type="dxa"/>
          </w:tcPr>
          <w:p w14:paraId="4735FECC" w14:textId="77777777" w:rsidR="00163269" w:rsidRDefault="00D04F14">
            <w:pPr>
              <w:pStyle w:val="NormalWeb"/>
              <w:spacing w:before="120" w:beforeAutospacing="0" w:after="0" w:afterAutospacing="0"/>
              <w:rPr>
                <w:sz w:val="20"/>
                <w:szCs w:val="20"/>
              </w:rPr>
            </w:pPr>
            <w:r>
              <w:rPr>
                <w:b/>
                <w:sz w:val="20"/>
                <w:szCs w:val="20"/>
              </w:rPr>
              <w:t>R211-67 :</w:t>
            </w:r>
            <w:r>
              <w:rPr>
                <w:sz w:val="20"/>
                <w:szCs w:val="20"/>
              </w:rPr>
              <w:t xml:space="preserve"> </w:t>
            </w:r>
          </w:p>
          <w:p w14:paraId="6C56023E" w14:textId="4D5EC19A" w:rsidR="004530F5" w:rsidRDefault="00D04F14">
            <w:pPr>
              <w:pStyle w:val="NormalWeb"/>
              <w:spacing w:before="120" w:beforeAutospacing="0" w:after="0" w:afterAutospacing="0"/>
              <w:rPr>
                <w:sz w:val="20"/>
                <w:szCs w:val="20"/>
              </w:rPr>
            </w:pPr>
            <w:r>
              <w:rPr>
                <w:sz w:val="20"/>
                <w:szCs w:val="20"/>
              </w:rPr>
              <w:t xml:space="preserve">Le préfet du département, lorsque la zone est entièrement comprise à l'intérieur d'un même département, ou les préfets des départements intéressés, lorsque la zone englobe un territoire s'étendant sur deux ou plusieurs départements, peuvent désigner, par arrêté, une zone d'alerte, pour un sous-bassin, bassin ou groupement de bassins correspondant à une unité hydrographique cohérente, dans laquelle ils sont susceptibles de prescrire les mesures mentionnées à </w:t>
            </w:r>
            <w:hyperlink r:id="rId9">
              <w:r>
                <w:rPr>
                  <w:rStyle w:val="LienInternet"/>
                  <w:sz w:val="20"/>
                  <w:szCs w:val="20"/>
                </w:rPr>
                <w:t xml:space="preserve">l'article R. 211-66. </w:t>
              </w:r>
            </w:hyperlink>
          </w:p>
          <w:p w14:paraId="3AA0F272" w14:textId="198C3F00" w:rsidR="004530F5" w:rsidRDefault="00D04F14">
            <w:pPr>
              <w:pStyle w:val="NormalWeb"/>
              <w:spacing w:before="120" w:beforeAutospacing="0" w:after="0" w:afterAutospacing="0"/>
              <w:rPr>
                <w:sz w:val="20"/>
                <w:szCs w:val="20"/>
              </w:rPr>
            </w:pPr>
            <w:r>
              <w:rPr>
                <w:sz w:val="20"/>
                <w:szCs w:val="20"/>
              </w:rPr>
              <w:lastRenderedPageBreak/>
              <w:t xml:space="preserve">Ils en informent le préfet coordonnateur de bassin. </w:t>
            </w:r>
          </w:p>
          <w:p w14:paraId="4B81C4DF" w14:textId="3D9BE58A" w:rsidR="004530F5" w:rsidRDefault="00D04F14">
            <w:pPr>
              <w:pStyle w:val="NormalWeb"/>
              <w:spacing w:before="120" w:beforeAutospacing="0" w:after="0" w:afterAutospacing="0"/>
              <w:rPr>
                <w:sz w:val="20"/>
                <w:szCs w:val="20"/>
              </w:rPr>
            </w:pPr>
            <w:r>
              <w:rPr>
                <w:sz w:val="20"/>
                <w:szCs w:val="20"/>
              </w:rPr>
              <w:t xml:space="preserve">Dans la ou les zones d'alerte ainsi désignées, chaque déclarant, chaque titulaire d'une concession ou d'une autorisation administrative de prélèvement, de stockage ou de déversement fait connaître au préfet ses besoins réels et ses besoins prioritaires, pour la période couverte par les mesures envisagées dans la limite des volumes, débits ou capacités déclarés, concédés ou autorisés en vertu du présent titre ou du titre Ier du livre V du code de l'énergie. Le ou les préfets établissent un document indiquant les seuils prévus d'alerte, les mesures correspondantes et les usages de l'eau de première nécessité à préserver en priorité. </w:t>
            </w:r>
          </w:p>
          <w:p w14:paraId="3B892B29" w14:textId="77777777" w:rsidR="003B3B63" w:rsidRDefault="00D04F14" w:rsidP="00C50BEA">
            <w:pPr>
              <w:pStyle w:val="NormalWeb"/>
              <w:spacing w:before="120" w:beforeAutospacing="0" w:after="0" w:afterAutospacing="0"/>
              <w:rPr>
                <w:sz w:val="20"/>
                <w:szCs w:val="20"/>
              </w:rPr>
            </w:pPr>
            <w:r>
              <w:rPr>
                <w:sz w:val="20"/>
                <w:szCs w:val="20"/>
              </w:rPr>
              <w:t>Ils constatent par arrêté le franchissement des seuils entraînant la mise en oeuvre des mesures envisagées.</w:t>
            </w:r>
          </w:p>
          <w:p w14:paraId="78AE945B" w14:textId="77777777" w:rsidR="00B11C6F" w:rsidRDefault="00B11C6F" w:rsidP="00B11C6F">
            <w:pPr>
              <w:pStyle w:val="NormalWeb"/>
              <w:spacing w:before="120" w:beforeAutospacing="0" w:after="0" w:afterAutospacing="0"/>
              <w:rPr>
                <w:sz w:val="20"/>
                <w:szCs w:val="20"/>
              </w:rPr>
            </w:pPr>
          </w:p>
          <w:p w14:paraId="58D9FAC3" w14:textId="77777777" w:rsidR="00B11C6F" w:rsidRDefault="00B11C6F" w:rsidP="00B11C6F">
            <w:pPr>
              <w:pStyle w:val="NormalWeb"/>
              <w:spacing w:before="120" w:beforeAutospacing="0" w:after="0" w:afterAutospacing="0"/>
              <w:rPr>
                <w:sz w:val="20"/>
                <w:szCs w:val="20"/>
              </w:rPr>
            </w:pPr>
          </w:p>
          <w:p w14:paraId="42131F76" w14:textId="75A5DD49" w:rsidR="00B11C6F" w:rsidRPr="00F743B9" w:rsidRDefault="00B11C6F" w:rsidP="00B11C6F">
            <w:pPr>
              <w:pStyle w:val="NormalWeb"/>
              <w:spacing w:before="120" w:beforeAutospacing="0" w:after="0" w:afterAutospacing="0"/>
              <w:rPr>
                <w:sz w:val="20"/>
                <w:szCs w:val="20"/>
              </w:rPr>
            </w:pPr>
          </w:p>
          <w:p w14:paraId="4C6A8776" w14:textId="15483E2B" w:rsidR="00B11C6F" w:rsidRDefault="00B11C6F">
            <w:pPr>
              <w:pStyle w:val="NormalWeb"/>
              <w:spacing w:before="120" w:beforeAutospacing="0" w:after="0" w:afterAutospacing="0"/>
              <w:rPr>
                <w:sz w:val="20"/>
                <w:szCs w:val="20"/>
              </w:rPr>
            </w:pPr>
          </w:p>
        </w:tc>
        <w:tc>
          <w:tcPr>
            <w:tcW w:w="5339" w:type="dxa"/>
          </w:tcPr>
          <w:p w14:paraId="7765C2D8" w14:textId="77777777" w:rsidR="0069193C" w:rsidRDefault="00D04F14" w:rsidP="00D11845">
            <w:pPr>
              <w:pStyle w:val="NormalWeb"/>
              <w:spacing w:before="120" w:beforeAutospacing="0" w:after="0" w:afterAutospacing="0"/>
              <w:jc w:val="both"/>
              <w:rPr>
                <w:color w:val="4472C4" w:themeColor="accent5"/>
                <w:sz w:val="20"/>
                <w:szCs w:val="20"/>
              </w:rPr>
            </w:pPr>
            <w:r>
              <w:rPr>
                <w:b/>
                <w:sz w:val="20"/>
                <w:szCs w:val="20"/>
              </w:rPr>
              <w:lastRenderedPageBreak/>
              <w:t>R211-67</w:t>
            </w:r>
            <w:r>
              <w:rPr>
                <w:sz w:val="20"/>
                <w:szCs w:val="20"/>
              </w:rPr>
              <w:t> </w:t>
            </w:r>
            <w:r>
              <w:rPr>
                <w:color w:val="4472C4" w:themeColor="accent5"/>
                <w:sz w:val="20"/>
                <w:szCs w:val="20"/>
              </w:rPr>
              <w:t xml:space="preserve">: </w:t>
            </w:r>
          </w:p>
          <w:p w14:paraId="2DDB9BA6" w14:textId="64CEDC2A" w:rsidR="004530F5" w:rsidRDefault="00666DCE" w:rsidP="00D11845">
            <w:pPr>
              <w:pStyle w:val="NormalWeb"/>
              <w:spacing w:before="120" w:beforeAutospacing="0" w:after="0" w:afterAutospacing="0"/>
              <w:jc w:val="both"/>
              <w:rPr>
                <w:color w:val="0070C0"/>
                <w:sz w:val="20"/>
                <w:szCs w:val="20"/>
              </w:rPr>
            </w:pPr>
            <w:r>
              <w:rPr>
                <w:color w:val="4472C4" w:themeColor="accent5"/>
                <w:sz w:val="20"/>
                <w:szCs w:val="20"/>
              </w:rPr>
              <w:t>I</w:t>
            </w:r>
            <w:r w:rsidR="0069193C">
              <w:rPr>
                <w:color w:val="4472C4" w:themeColor="accent5"/>
                <w:sz w:val="20"/>
                <w:szCs w:val="20"/>
              </w:rPr>
              <w:t xml:space="preserve">. </w:t>
            </w:r>
            <w:r>
              <w:rPr>
                <w:color w:val="4472C4" w:themeColor="accent5"/>
                <w:sz w:val="20"/>
                <w:szCs w:val="20"/>
              </w:rPr>
              <w:t xml:space="preserve"> </w:t>
            </w:r>
            <w:r w:rsidR="00D04F14">
              <w:rPr>
                <w:color w:val="0070C0"/>
                <w:sz w:val="20"/>
                <w:szCs w:val="20"/>
              </w:rPr>
              <w:t>Les mesures de restriction mentionnées à l’article R211-66 s’appliquent à l’échelle de zones d’alerte. Une zone d’alerte est définie comme une unité hydrologique et/ou hydrogéologique cohérente, désignée par le préfet au regard de la ressource en eau. Elle peut être interdépartementale. Dans le cas où la nécessité d’une coordination interdépartementale a été identifiée en application de l’article R211-69, la délimitation de zones d’alerte interdépartementales relèvera de la responsabilité du préfet référent prévu à cet article.</w:t>
            </w:r>
          </w:p>
          <w:p w14:paraId="5CEF0AB7" w14:textId="77272989" w:rsidR="004530F5" w:rsidRDefault="00F2458D" w:rsidP="00D11845">
            <w:pPr>
              <w:pStyle w:val="NormalWeb"/>
              <w:spacing w:before="120" w:beforeAutospacing="0" w:after="0" w:afterAutospacing="0"/>
              <w:jc w:val="both"/>
              <w:rPr>
                <w:sz w:val="20"/>
                <w:szCs w:val="20"/>
              </w:rPr>
            </w:pPr>
            <w:r w:rsidRPr="007A0278">
              <w:rPr>
                <w:color w:val="4472C4" w:themeColor="accent5"/>
                <w:sz w:val="20"/>
                <w:szCs w:val="20"/>
              </w:rPr>
              <w:t xml:space="preserve">Le préfet </w:t>
            </w:r>
            <w:r w:rsidR="00D04F14">
              <w:rPr>
                <w:sz w:val="20"/>
                <w:szCs w:val="20"/>
              </w:rPr>
              <w:t xml:space="preserve">informe le préfet coordonnateur de bassin </w:t>
            </w:r>
            <w:r w:rsidR="00D04F14">
              <w:rPr>
                <w:color w:val="4472C4" w:themeColor="accent5"/>
                <w:sz w:val="20"/>
                <w:szCs w:val="20"/>
              </w:rPr>
              <w:t>du découpage effectif des</w:t>
            </w:r>
            <w:r w:rsidR="00D04F14">
              <w:rPr>
                <w:color w:val="C45911" w:themeColor="accent2" w:themeShade="BF"/>
                <w:sz w:val="20"/>
                <w:szCs w:val="20"/>
              </w:rPr>
              <w:t xml:space="preserve"> </w:t>
            </w:r>
            <w:r w:rsidR="00D04F14">
              <w:rPr>
                <w:color w:val="4472C4" w:themeColor="accent5"/>
                <w:sz w:val="20"/>
                <w:szCs w:val="20"/>
              </w:rPr>
              <w:t>zones d’alerte.</w:t>
            </w:r>
            <w:r w:rsidR="00D04F14">
              <w:rPr>
                <w:sz w:val="20"/>
                <w:szCs w:val="20"/>
              </w:rPr>
              <w:t xml:space="preserve"> </w:t>
            </w:r>
          </w:p>
          <w:p w14:paraId="7A5546EB" w14:textId="23AB7180" w:rsidR="003B3B63" w:rsidRDefault="00D04F14" w:rsidP="00D11845">
            <w:pPr>
              <w:pStyle w:val="NormalWeb"/>
              <w:spacing w:before="120" w:beforeAutospacing="0" w:after="0" w:afterAutospacing="0"/>
              <w:jc w:val="both"/>
              <w:rPr>
                <w:sz w:val="20"/>
                <w:szCs w:val="20"/>
              </w:rPr>
            </w:pPr>
            <w:r>
              <w:rPr>
                <w:sz w:val="20"/>
                <w:szCs w:val="20"/>
              </w:rPr>
              <w:lastRenderedPageBreak/>
              <w:t xml:space="preserve">Dans la ou les zones d'alerte ainsi désignées, chaque déclarant, chaque titulaire d'une concession ou d'une autorisation administrative de prélèvement, de stockage ou de déversement fait connaître au préfet ses besoins réels et ses besoins prioritaires, pour la période couverte par les mesures envisagées dans la limite des volumes, débits ou capacités déclarés, concédés ou autorisés en vertu du présent titre ou du titre Ier du livre V du code de l'énergie. </w:t>
            </w:r>
          </w:p>
          <w:p w14:paraId="382A9377" w14:textId="460DE9A4" w:rsidR="00F2458D" w:rsidRPr="007E5EB5" w:rsidRDefault="00666DCE" w:rsidP="00D11845">
            <w:pPr>
              <w:pStyle w:val="NormalWeb"/>
              <w:spacing w:before="120" w:beforeAutospacing="0" w:after="0" w:afterAutospacing="0"/>
              <w:jc w:val="both"/>
              <w:rPr>
                <w:color w:val="4472C4" w:themeColor="accent5"/>
                <w:sz w:val="20"/>
                <w:szCs w:val="20"/>
              </w:rPr>
            </w:pPr>
            <w:r>
              <w:rPr>
                <w:color w:val="0070C0"/>
                <w:sz w:val="20"/>
                <w:szCs w:val="20"/>
              </w:rPr>
              <w:t>II</w:t>
            </w:r>
            <w:r w:rsidR="0069193C">
              <w:rPr>
                <w:color w:val="0070C0"/>
                <w:sz w:val="20"/>
                <w:szCs w:val="20"/>
              </w:rPr>
              <w:t xml:space="preserve">. </w:t>
            </w:r>
            <w:r w:rsidR="00D04F14">
              <w:rPr>
                <w:color w:val="0070C0"/>
                <w:sz w:val="20"/>
                <w:szCs w:val="20"/>
              </w:rPr>
              <w:t xml:space="preserve">Afin de préparer en amont les mesures à prendre et organiser la gestion de crise en période de sécheresse, le préfet prend un arrêté, dit arrêté-cadre, désignant la ou les zones d’alerte, indiquant les </w:t>
            </w:r>
            <w:r w:rsidR="00D04F14">
              <w:rPr>
                <w:b/>
                <w:color w:val="0070C0"/>
                <w:sz w:val="20"/>
                <w:szCs w:val="20"/>
              </w:rPr>
              <w:t>conditions de déclenchement des différents niveaux de gravité</w:t>
            </w:r>
            <w:r w:rsidR="00D04F14">
              <w:rPr>
                <w:color w:val="0070C0"/>
                <w:sz w:val="20"/>
                <w:szCs w:val="20"/>
              </w:rPr>
              <w:t xml:space="preserve"> et mentionnant les mesures de restriction à mettre en œuvre par usages, sous-catégories d’usage ou types d’activités en fonction du niveau de gravité ainsi</w:t>
            </w:r>
            <w:r w:rsidR="00F2458D">
              <w:rPr>
                <w:color w:val="0070C0"/>
                <w:sz w:val="20"/>
                <w:szCs w:val="20"/>
              </w:rPr>
              <w:t xml:space="preserve"> que</w:t>
            </w:r>
            <w:r w:rsidR="00D04F14">
              <w:rPr>
                <w:color w:val="0070C0"/>
                <w:sz w:val="20"/>
                <w:szCs w:val="20"/>
              </w:rPr>
              <w:t xml:space="preserve"> l</w:t>
            </w:r>
            <w:r w:rsidR="00D04F14">
              <w:rPr>
                <w:sz w:val="20"/>
                <w:szCs w:val="20"/>
              </w:rPr>
              <w:t>es usages de l'eau de première nécessité à préserver en priorité</w:t>
            </w:r>
            <w:r w:rsidR="00D04F14">
              <w:rPr>
                <w:color w:val="4472C4" w:themeColor="accent5"/>
                <w:sz w:val="20"/>
                <w:szCs w:val="20"/>
              </w:rPr>
              <w:t xml:space="preserve">.  </w:t>
            </w:r>
          </w:p>
          <w:p w14:paraId="667A53A7" w14:textId="150FF4B7" w:rsidR="004530F5" w:rsidRPr="007E5EB5" w:rsidRDefault="00D04F14" w:rsidP="00D11845">
            <w:pPr>
              <w:pStyle w:val="NormalWeb"/>
              <w:spacing w:before="120" w:beforeAutospacing="0" w:after="0" w:afterAutospacing="0"/>
              <w:jc w:val="both"/>
            </w:pPr>
            <w:r>
              <w:rPr>
                <w:color w:val="0070C0"/>
                <w:sz w:val="20"/>
                <w:szCs w:val="20"/>
              </w:rPr>
              <w:t>L’arrêté cadre indique également, le cas échéant, les conditions selon lesquelles</w:t>
            </w:r>
            <w:r w:rsidR="00F2458D">
              <w:rPr>
                <w:color w:val="0070C0"/>
                <w:sz w:val="20"/>
                <w:szCs w:val="20"/>
              </w:rPr>
              <w:t xml:space="preserve"> le préfet peut, à titre exceptionnel, à la demande d’un usager</w:t>
            </w:r>
            <w:r w:rsidR="0069193C">
              <w:rPr>
                <w:color w:val="0070C0"/>
                <w:sz w:val="20"/>
                <w:szCs w:val="20"/>
              </w:rPr>
              <w:t xml:space="preserve">, </w:t>
            </w:r>
            <w:r w:rsidR="00BD1ACE">
              <w:rPr>
                <w:color w:val="0070C0"/>
                <w:sz w:val="20"/>
                <w:szCs w:val="20"/>
              </w:rPr>
              <w:t>adapter</w:t>
            </w:r>
            <w:r w:rsidR="00F2458D">
              <w:rPr>
                <w:color w:val="0070C0"/>
                <w:sz w:val="20"/>
                <w:szCs w:val="20"/>
              </w:rPr>
              <w:t xml:space="preserve"> les mesures </w:t>
            </w:r>
            <w:r w:rsidR="00BD1ACE">
              <w:rPr>
                <w:color w:val="0070C0"/>
                <w:sz w:val="20"/>
                <w:szCs w:val="20"/>
              </w:rPr>
              <w:t>de restriction</w:t>
            </w:r>
            <w:r w:rsidR="00F2458D">
              <w:rPr>
                <w:color w:val="0070C0"/>
                <w:sz w:val="20"/>
                <w:szCs w:val="20"/>
              </w:rPr>
              <w:t xml:space="preserve"> s’appliquant à son usage</w:t>
            </w:r>
            <w:r w:rsidR="00BD1ACE">
              <w:rPr>
                <w:color w:val="0070C0"/>
                <w:sz w:val="20"/>
                <w:szCs w:val="20"/>
              </w:rPr>
              <w:t>.</w:t>
            </w:r>
            <w:r w:rsidR="00F2458D">
              <w:rPr>
                <w:color w:val="0070C0"/>
                <w:sz w:val="20"/>
                <w:szCs w:val="20"/>
              </w:rPr>
              <w:t xml:space="preserve"> </w:t>
            </w:r>
            <w:r>
              <w:rPr>
                <w:color w:val="0070C0"/>
                <w:sz w:val="20"/>
                <w:szCs w:val="20"/>
              </w:rPr>
              <w:t xml:space="preserve"> </w:t>
            </w:r>
            <w:r w:rsidR="00BD1ACE">
              <w:rPr>
                <w:color w:val="0070C0"/>
                <w:sz w:val="20"/>
                <w:szCs w:val="20"/>
              </w:rPr>
              <w:t>Ces conditions tiennent compte des enjeux économiques spécifiques, de la rareté, des circonstances particulières et de considérations techniques. Elles sont strictement limitées en volume et dans le temps, par le respect des enjeux environnementaux.</w:t>
            </w:r>
          </w:p>
          <w:p w14:paraId="1D80C341" w14:textId="77777777" w:rsidR="007E5EB5" w:rsidRDefault="00666DCE" w:rsidP="00163269">
            <w:pPr>
              <w:pStyle w:val="NormalWeb"/>
              <w:spacing w:before="120" w:beforeAutospacing="0" w:after="0" w:afterAutospacing="0"/>
              <w:jc w:val="both"/>
              <w:rPr>
                <w:color w:val="4472C4" w:themeColor="accent5"/>
                <w:sz w:val="20"/>
                <w:szCs w:val="20"/>
              </w:rPr>
            </w:pPr>
            <w:r>
              <w:rPr>
                <w:color w:val="0070C0"/>
                <w:sz w:val="20"/>
                <w:szCs w:val="20"/>
              </w:rPr>
              <w:t>III</w:t>
            </w:r>
            <w:r w:rsidR="00281B55">
              <w:rPr>
                <w:color w:val="0070C0"/>
                <w:sz w:val="20"/>
                <w:szCs w:val="20"/>
              </w:rPr>
              <w:t>.</w:t>
            </w:r>
            <w:r>
              <w:rPr>
                <w:color w:val="0070C0"/>
                <w:sz w:val="20"/>
                <w:szCs w:val="20"/>
              </w:rPr>
              <w:t xml:space="preserve"> </w:t>
            </w:r>
            <w:r w:rsidR="00D04F14">
              <w:rPr>
                <w:color w:val="0070C0"/>
                <w:sz w:val="20"/>
                <w:szCs w:val="20"/>
              </w:rPr>
              <w:t>Les arrêtés de restriction temporaire des usages prévus à l’article R211-66 sont pris dès lors que le ou les préfets constatent</w:t>
            </w:r>
            <w:r w:rsidR="00BD1ACE">
              <w:rPr>
                <w:color w:val="0070C0"/>
                <w:sz w:val="20"/>
                <w:szCs w:val="20"/>
              </w:rPr>
              <w:t xml:space="preserve"> </w:t>
            </w:r>
            <w:r w:rsidR="001E022C">
              <w:rPr>
                <w:color w:val="0070C0"/>
                <w:sz w:val="20"/>
                <w:szCs w:val="20"/>
              </w:rPr>
              <w:t xml:space="preserve">que </w:t>
            </w:r>
            <w:r w:rsidR="00D04F14">
              <w:rPr>
                <w:color w:val="0070C0"/>
                <w:sz w:val="20"/>
                <w:szCs w:val="20"/>
              </w:rPr>
              <w:t xml:space="preserve">les conditions de déclenchement </w:t>
            </w:r>
            <w:r>
              <w:rPr>
                <w:color w:val="0070C0"/>
                <w:sz w:val="20"/>
                <w:szCs w:val="20"/>
              </w:rPr>
              <w:t xml:space="preserve">prévues par l’arrêté cadre sont remplies </w:t>
            </w:r>
            <w:r w:rsidR="00D04F14">
              <w:rPr>
                <w:sz w:val="20"/>
                <w:szCs w:val="20"/>
              </w:rPr>
              <w:t xml:space="preserve">entraînant la mise en œuvre des mesures envisagées. </w:t>
            </w:r>
            <w:r w:rsidR="00D04F14">
              <w:rPr>
                <w:color w:val="0070C0"/>
                <w:sz w:val="20"/>
                <w:szCs w:val="20"/>
              </w:rPr>
              <w:t>Dans les zones d’alerte interdépartementales, les préfets constatent ces conditions et prennent les arrêtés de restrictions correspondants, de manière coordonnée</w:t>
            </w:r>
            <w:r w:rsidR="00D04F14">
              <w:rPr>
                <w:color w:val="0070C0"/>
                <w:sz w:val="20"/>
                <w:szCs w:val="20"/>
                <w:shd w:val="clear" w:color="auto" w:fill="D9D9D9"/>
              </w:rPr>
              <w:t>.</w:t>
            </w:r>
            <w:r w:rsidR="00D04F14">
              <w:rPr>
                <w:color w:val="4472C4" w:themeColor="accent5"/>
                <w:sz w:val="20"/>
                <w:szCs w:val="20"/>
              </w:rPr>
              <w:t xml:space="preserve"> </w:t>
            </w:r>
          </w:p>
          <w:p w14:paraId="4B85C01A" w14:textId="78F25F40" w:rsidR="00163269" w:rsidRDefault="00EA78AA" w:rsidP="007E5EB5">
            <w:pPr>
              <w:pStyle w:val="NormalWeb"/>
              <w:spacing w:before="120" w:beforeAutospacing="0" w:after="0" w:afterAutospacing="0"/>
              <w:jc w:val="both"/>
              <w:rPr>
                <w:color w:val="0070C0"/>
                <w:sz w:val="20"/>
                <w:szCs w:val="20"/>
                <w:highlight w:val="lightGray"/>
              </w:rPr>
            </w:pPr>
            <w:r>
              <w:rPr>
                <w:color w:val="0070C0"/>
                <w:sz w:val="20"/>
                <w:szCs w:val="20"/>
              </w:rPr>
              <w:t>Une  fois les conditions de déclenchement réunies, l’arrêté de restriction est pris dans les plus courts</w:t>
            </w:r>
            <w:r w:rsidR="00D04F14">
              <w:rPr>
                <w:color w:val="0070C0"/>
                <w:sz w:val="20"/>
                <w:szCs w:val="20"/>
              </w:rPr>
              <w:t xml:space="preserve"> délai</w:t>
            </w:r>
            <w:r>
              <w:rPr>
                <w:color w:val="0070C0"/>
                <w:sz w:val="20"/>
                <w:szCs w:val="20"/>
              </w:rPr>
              <w:t xml:space="preserve">s, et selon les modalités définies par </w:t>
            </w:r>
            <w:r w:rsidR="00D04F14">
              <w:rPr>
                <w:color w:val="0070C0"/>
                <w:sz w:val="20"/>
                <w:szCs w:val="20"/>
              </w:rPr>
              <w:t xml:space="preserve">l’arrêté cadre. </w:t>
            </w:r>
          </w:p>
        </w:tc>
        <w:tc>
          <w:tcPr>
            <w:tcW w:w="5009" w:type="dxa"/>
          </w:tcPr>
          <w:p w14:paraId="652787F9" w14:textId="4EC2CB7F" w:rsidR="004530F5" w:rsidRDefault="007E5EB5" w:rsidP="007E5EB5">
            <w:pPr>
              <w:spacing w:before="120" w:after="0" w:line="240" w:lineRule="auto"/>
              <w:rPr>
                <w:rFonts w:ascii="Times New Roman" w:eastAsia="Times New Roman" w:hAnsi="Times New Roman" w:cs="Times New Roman"/>
                <w:color w:val="538135" w:themeColor="accent6" w:themeShade="BF"/>
                <w:sz w:val="20"/>
                <w:szCs w:val="20"/>
                <w:lang w:eastAsia="fr-FR"/>
              </w:rPr>
            </w:pPr>
            <w:r w:rsidRPr="007E5EB5">
              <w:rPr>
                <w:rFonts w:ascii="Times New Roman" w:eastAsia="Times New Roman" w:hAnsi="Times New Roman" w:cs="Times New Roman"/>
                <w:color w:val="538135" w:themeColor="accent6" w:themeShade="BF"/>
                <w:sz w:val="20"/>
                <w:szCs w:val="20"/>
                <w:lang w:eastAsia="fr-FR"/>
              </w:rPr>
              <w:lastRenderedPageBreak/>
              <w:t>I-</w:t>
            </w:r>
            <w:r>
              <w:rPr>
                <w:rFonts w:ascii="Times New Roman" w:eastAsia="Times New Roman" w:hAnsi="Times New Roman" w:cs="Times New Roman"/>
                <w:color w:val="538135" w:themeColor="accent6" w:themeShade="BF"/>
                <w:sz w:val="20"/>
                <w:szCs w:val="20"/>
                <w:lang w:eastAsia="fr-FR"/>
              </w:rPr>
              <w:t xml:space="preserve"> </w:t>
            </w:r>
            <w:r w:rsidR="00D04F14" w:rsidRPr="007E5EB5">
              <w:rPr>
                <w:rFonts w:ascii="Times New Roman" w:eastAsia="Times New Roman" w:hAnsi="Times New Roman" w:cs="Times New Roman"/>
                <w:color w:val="538135" w:themeColor="accent6" w:themeShade="BF"/>
                <w:sz w:val="20"/>
                <w:szCs w:val="20"/>
                <w:lang w:eastAsia="fr-FR"/>
              </w:rPr>
              <w:t xml:space="preserve">Proposition d’être plus clair sur la définition d’une zone d’alerte et sur le lien entre nécessité de coordination interdépartementale par le PCB et désignation de zones d’alerte interdépartementales.  </w:t>
            </w:r>
          </w:p>
          <w:p w14:paraId="2205AB9E" w14:textId="420C4F08" w:rsidR="007E5EB5" w:rsidRDefault="007E5EB5" w:rsidP="007E5EB5">
            <w:pPr>
              <w:spacing w:before="120" w:after="0" w:line="240" w:lineRule="auto"/>
              <w:rPr>
                <w:rFonts w:ascii="Times New Roman" w:eastAsia="Times New Roman" w:hAnsi="Times New Roman" w:cs="Times New Roman"/>
                <w:color w:val="538135" w:themeColor="accent6" w:themeShade="BF"/>
                <w:sz w:val="20"/>
                <w:szCs w:val="20"/>
                <w:lang w:eastAsia="fr-FR"/>
              </w:rPr>
            </w:pPr>
          </w:p>
          <w:p w14:paraId="6D40AC30" w14:textId="08DCDE35" w:rsidR="007E5EB5" w:rsidRDefault="007E5EB5" w:rsidP="007E5EB5">
            <w:pPr>
              <w:spacing w:before="120" w:after="0" w:line="240" w:lineRule="auto"/>
              <w:rPr>
                <w:rFonts w:ascii="Times New Roman" w:eastAsia="Times New Roman" w:hAnsi="Times New Roman" w:cs="Times New Roman"/>
                <w:color w:val="538135" w:themeColor="accent6" w:themeShade="BF"/>
                <w:sz w:val="20"/>
                <w:szCs w:val="20"/>
                <w:lang w:eastAsia="fr-FR"/>
              </w:rPr>
            </w:pPr>
          </w:p>
          <w:p w14:paraId="1C453B39" w14:textId="5724466C" w:rsidR="007E5EB5" w:rsidRDefault="007E5EB5" w:rsidP="007E5EB5">
            <w:pPr>
              <w:spacing w:before="120" w:after="0" w:line="240" w:lineRule="auto"/>
              <w:rPr>
                <w:rFonts w:ascii="Times New Roman" w:eastAsia="Times New Roman" w:hAnsi="Times New Roman" w:cs="Times New Roman"/>
                <w:color w:val="538135" w:themeColor="accent6" w:themeShade="BF"/>
                <w:sz w:val="20"/>
                <w:szCs w:val="20"/>
                <w:lang w:eastAsia="fr-FR"/>
              </w:rPr>
            </w:pPr>
          </w:p>
          <w:p w14:paraId="25AE8E4E" w14:textId="77777777" w:rsidR="007E5EB5" w:rsidRPr="007E5EB5" w:rsidRDefault="007E5EB5" w:rsidP="007E5EB5">
            <w:pPr>
              <w:spacing w:before="120" w:after="0" w:line="240" w:lineRule="auto"/>
              <w:rPr>
                <w:rFonts w:ascii="Times New Roman" w:eastAsia="Times New Roman" w:hAnsi="Times New Roman" w:cs="Times New Roman"/>
                <w:color w:val="538135" w:themeColor="accent6" w:themeShade="BF"/>
                <w:sz w:val="20"/>
                <w:szCs w:val="20"/>
                <w:lang w:eastAsia="fr-FR"/>
              </w:rPr>
            </w:pPr>
          </w:p>
          <w:p w14:paraId="38985631" w14:textId="4EE1C5E9" w:rsidR="004530F5" w:rsidRDefault="007E5EB5">
            <w:pPr>
              <w:spacing w:before="120" w:after="0" w:line="240" w:lineRule="auto"/>
              <w:jc w:val="both"/>
              <w:rPr>
                <w:rFonts w:ascii="Times New Roman" w:eastAsia="Times New Roman" w:hAnsi="Times New Roman" w:cs="Times New Roman"/>
                <w:color w:val="538135" w:themeColor="accent6" w:themeShade="BF"/>
                <w:sz w:val="20"/>
                <w:szCs w:val="20"/>
                <w:lang w:eastAsia="fr-FR"/>
              </w:rPr>
            </w:pPr>
            <w:r>
              <w:rPr>
                <w:rFonts w:ascii="Times New Roman" w:eastAsia="Times New Roman" w:hAnsi="Times New Roman" w:cs="Times New Roman"/>
                <w:color w:val="538135" w:themeColor="accent6" w:themeShade="BF"/>
                <w:sz w:val="20"/>
                <w:szCs w:val="20"/>
                <w:lang w:eastAsia="fr-FR"/>
              </w:rPr>
              <w:t xml:space="preserve">II- </w:t>
            </w:r>
            <w:r w:rsidR="00D04F14">
              <w:rPr>
                <w:rFonts w:ascii="Times New Roman" w:eastAsia="Times New Roman" w:hAnsi="Times New Roman" w:cs="Times New Roman"/>
                <w:color w:val="538135" w:themeColor="accent6" w:themeShade="BF"/>
                <w:sz w:val="20"/>
                <w:szCs w:val="20"/>
                <w:lang w:eastAsia="fr-FR"/>
              </w:rPr>
              <w:t xml:space="preserve">Actuellement, le franchissement des seuils renvoie à une action strictement liée à des seuils quantitatifs de débit ou de niveau piézométrique. L’objet de la réforme est de permettre </w:t>
            </w:r>
            <w:r w:rsidR="00D04F14">
              <w:rPr>
                <w:rFonts w:ascii="Times New Roman" w:eastAsia="Times New Roman" w:hAnsi="Times New Roman" w:cs="Times New Roman"/>
                <w:color w:val="538135" w:themeColor="accent6" w:themeShade="BF"/>
                <w:sz w:val="20"/>
                <w:szCs w:val="20"/>
                <w:lang w:eastAsia="fr-FR"/>
              </w:rPr>
              <w:lastRenderedPageBreak/>
              <w:t xml:space="preserve">de déclencher les niveaux de gravité de manière mieux circonstancielle en intégrant des éléments d’anticipation et de prise en compte, au-delà de seuils quantitatifs, d’éléments de contexte et prévisionnels : franchissement très ponctuel et temporaire d’un seuil quantitatif, prévisions météo (pluie à venir prochainement ou manque de pluie prolongé), suivi hydrologique de terrain du réseau onde, etc. Les termes « seuils d’alerte » sont donc remplacés par « conditions de déclenchement » des différents niveaux de gravité. </w:t>
            </w:r>
          </w:p>
          <w:p w14:paraId="472F5D82" w14:textId="77777777" w:rsidR="004530F5" w:rsidRDefault="00D04F14">
            <w:pPr>
              <w:spacing w:before="120" w:after="0" w:line="240" w:lineRule="auto"/>
              <w:jc w:val="both"/>
              <w:rPr>
                <w:rFonts w:ascii="Times New Roman" w:eastAsia="Times New Roman" w:hAnsi="Times New Roman" w:cs="Times New Roman"/>
                <w:color w:val="538135" w:themeColor="accent6" w:themeShade="BF"/>
                <w:sz w:val="20"/>
                <w:szCs w:val="20"/>
                <w:lang w:eastAsia="fr-FR"/>
              </w:rPr>
            </w:pPr>
            <w:r>
              <w:rPr>
                <w:rFonts w:ascii="Times New Roman" w:eastAsia="Times New Roman" w:hAnsi="Times New Roman" w:cs="Times New Roman"/>
                <w:color w:val="538135" w:themeColor="accent6" w:themeShade="BF"/>
                <w:sz w:val="20"/>
                <w:szCs w:val="20"/>
                <w:lang w:eastAsia="fr-FR"/>
              </w:rPr>
              <w:t>L’arrêté cadre détaillera les conditions de déclenchement (seuils, mobilisation de données d’observations du réseau ONDE, d’informations sur prévisions météorologiques) des mesures de limitation ou de suspension progressive des usages de l'eau. Ces conditions pourront être modulées : par exemple les volumes des autorisations de prélèvement pourront être modulées en fonction du niveau de la ressource en fin de période de recharge des nappes.</w:t>
            </w:r>
          </w:p>
          <w:p w14:paraId="7F23178B" w14:textId="1E79DF01" w:rsidR="004530F5" w:rsidRDefault="00D04F14">
            <w:pPr>
              <w:spacing w:before="120" w:after="0" w:line="240" w:lineRule="auto"/>
              <w:jc w:val="both"/>
              <w:rPr>
                <w:rFonts w:ascii="Times New Roman" w:eastAsia="Times New Roman" w:hAnsi="Times New Roman" w:cs="Times New Roman"/>
                <w:color w:val="538135" w:themeColor="accent6" w:themeShade="BF"/>
                <w:sz w:val="20"/>
                <w:szCs w:val="20"/>
                <w:lang w:eastAsia="fr-FR"/>
              </w:rPr>
            </w:pPr>
            <w:r>
              <w:rPr>
                <w:rFonts w:ascii="Times New Roman" w:eastAsia="Times New Roman" w:hAnsi="Times New Roman" w:cs="Times New Roman"/>
                <w:color w:val="538135" w:themeColor="accent6" w:themeShade="BF"/>
                <w:sz w:val="20"/>
                <w:szCs w:val="20"/>
                <w:lang w:eastAsia="fr-FR"/>
              </w:rPr>
              <w:t>Il est proposé également que l’arrêté cadre fixe les mesures de restriction pour certaines activités ou sous-catégorie d’usage en fonction du niveau de gravité. Il fixera égalemen</w:t>
            </w:r>
            <w:r w:rsidR="00265AEB">
              <w:rPr>
                <w:rFonts w:ascii="Times New Roman" w:eastAsia="Times New Roman" w:hAnsi="Times New Roman" w:cs="Times New Roman"/>
                <w:color w:val="538135" w:themeColor="accent6" w:themeShade="BF"/>
                <w:sz w:val="20"/>
                <w:szCs w:val="20"/>
                <w:lang w:eastAsia="fr-FR"/>
              </w:rPr>
              <w:t xml:space="preserve">t les conditions pour </w:t>
            </w:r>
            <w:r w:rsidR="0069193C">
              <w:rPr>
                <w:rFonts w:ascii="Times New Roman" w:eastAsia="Times New Roman" w:hAnsi="Times New Roman" w:cs="Times New Roman"/>
                <w:color w:val="538135" w:themeColor="accent6" w:themeShade="BF"/>
                <w:sz w:val="20"/>
                <w:szCs w:val="20"/>
                <w:lang w:eastAsia="fr-FR"/>
              </w:rPr>
              <w:t>adapter l</w:t>
            </w:r>
            <w:r>
              <w:rPr>
                <w:rFonts w:ascii="Times New Roman" w:eastAsia="Times New Roman" w:hAnsi="Times New Roman" w:cs="Times New Roman"/>
                <w:color w:val="538135" w:themeColor="accent6" w:themeShade="BF"/>
                <w:sz w:val="20"/>
                <w:szCs w:val="20"/>
                <w:lang w:eastAsia="fr-FR"/>
              </w:rPr>
              <w:t>es mesures (exemple pour l’usage agricole : certaines semences, certaines variétés, certains types de cultures qui nécessitent un minimum de maintien d’irrigation</w:t>
            </w:r>
            <w:r w:rsidR="001F2FE4">
              <w:rPr>
                <w:rFonts w:ascii="Times New Roman" w:eastAsia="Times New Roman" w:hAnsi="Times New Roman" w:cs="Times New Roman"/>
                <w:color w:val="538135" w:themeColor="accent6" w:themeShade="BF"/>
                <w:sz w:val="20"/>
                <w:szCs w:val="20"/>
                <w:lang w:eastAsia="fr-FR"/>
              </w:rPr>
              <w:t xml:space="preserve">). </w:t>
            </w:r>
          </w:p>
          <w:p w14:paraId="694F93A1" w14:textId="3B187FD4" w:rsidR="001F2FE4" w:rsidRDefault="007E5EB5">
            <w:pPr>
              <w:spacing w:before="120" w:after="0" w:line="240" w:lineRule="auto"/>
              <w:jc w:val="both"/>
              <w:rPr>
                <w:rFonts w:ascii="Times New Roman" w:eastAsia="Times New Roman" w:hAnsi="Times New Roman" w:cs="Times New Roman"/>
                <w:color w:val="538135" w:themeColor="accent6" w:themeShade="BF"/>
                <w:sz w:val="20"/>
                <w:szCs w:val="20"/>
                <w:lang w:eastAsia="fr-FR"/>
              </w:rPr>
            </w:pPr>
            <w:r>
              <w:rPr>
                <w:rFonts w:ascii="Times New Roman" w:eastAsia="Times New Roman" w:hAnsi="Times New Roman" w:cs="Times New Roman"/>
                <w:color w:val="538135" w:themeColor="accent6" w:themeShade="BF"/>
                <w:sz w:val="20"/>
                <w:szCs w:val="20"/>
                <w:lang w:eastAsia="fr-FR"/>
              </w:rPr>
              <w:t>III- le décret impose une célérité dans la prise de décision dès lors que les conditions de déclenchement d’un niveau de gravité sont remplies.</w:t>
            </w:r>
          </w:p>
          <w:p w14:paraId="1D55F8C1" w14:textId="6718A784" w:rsidR="004530F5" w:rsidRDefault="00D04F14">
            <w:pPr>
              <w:spacing w:before="120" w:after="0" w:line="240" w:lineRule="auto"/>
              <w:rPr>
                <w:rFonts w:ascii="Times New Roman" w:eastAsia="Times New Roman" w:hAnsi="Times New Roman" w:cs="Times New Roman"/>
                <w:color w:val="538135" w:themeColor="accent6" w:themeShade="BF"/>
                <w:sz w:val="20"/>
                <w:szCs w:val="20"/>
                <w:lang w:eastAsia="fr-FR"/>
              </w:rPr>
            </w:pPr>
            <w:r>
              <w:rPr>
                <w:rFonts w:ascii="Times New Roman" w:eastAsia="Times New Roman" w:hAnsi="Times New Roman" w:cs="Times New Roman"/>
                <w:color w:val="538135" w:themeColor="accent6" w:themeShade="BF"/>
                <w:sz w:val="20"/>
                <w:szCs w:val="20"/>
                <w:lang w:eastAsia="fr-FR"/>
              </w:rPr>
              <w:t>Afin d’optimiser l’efficacité des mesures, les arrêtés de restrictions s</w:t>
            </w:r>
            <w:r w:rsidR="00281B55">
              <w:rPr>
                <w:rFonts w:ascii="Times New Roman" w:eastAsia="Times New Roman" w:hAnsi="Times New Roman" w:cs="Times New Roman"/>
                <w:color w:val="538135" w:themeColor="accent6" w:themeShade="BF"/>
                <w:sz w:val="20"/>
                <w:szCs w:val="20"/>
                <w:lang w:eastAsia="fr-FR"/>
              </w:rPr>
              <w:t>ont pris sans délai et selon des</w:t>
            </w:r>
            <w:r>
              <w:rPr>
                <w:rFonts w:ascii="Times New Roman" w:eastAsia="Times New Roman" w:hAnsi="Times New Roman" w:cs="Times New Roman"/>
                <w:color w:val="538135" w:themeColor="accent6" w:themeShade="BF"/>
                <w:sz w:val="20"/>
                <w:szCs w:val="20"/>
                <w:lang w:eastAsia="fr-FR"/>
              </w:rPr>
              <w:t xml:space="preserve"> modalités inscrites dans l’arrêté cadre qui devront assurer une réactivité de quelques jours maximum (</w:t>
            </w:r>
            <w:r w:rsidR="00DC128A">
              <w:rPr>
                <w:rFonts w:ascii="Times New Roman" w:eastAsia="Times New Roman" w:hAnsi="Times New Roman" w:cs="Times New Roman"/>
                <w:color w:val="538135" w:themeColor="accent6" w:themeShade="BF"/>
                <w:sz w:val="20"/>
                <w:szCs w:val="20"/>
                <w:lang w:eastAsia="fr-FR"/>
              </w:rPr>
              <w:t xml:space="preserve">ex : </w:t>
            </w:r>
            <w:r>
              <w:rPr>
                <w:rFonts w:ascii="Times New Roman" w:eastAsia="Times New Roman" w:hAnsi="Times New Roman" w:cs="Times New Roman"/>
                <w:color w:val="538135" w:themeColor="accent6" w:themeShade="BF"/>
                <w:sz w:val="20"/>
                <w:szCs w:val="20"/>
                <w:lang w:eastAsia="fr-FR"/>
              </w:rPr>
              <w:t>envoi du projet par mel préalable 3 jours avant de signer ou cellule réduite de consultation rapide/comité de ressource, etc.), dès lors que le préfet constate que les conditions de franchissement précisées dans l’arrêté-cadre sont remplies.</w:t>
            </w:r>
          </w:p>
        </w:tc>
      </w:tr>
    </w:tbl>
    <w:p w14:paraId="30E6BCD8" w14:textId="77777777" w:rsidR="004530F5" w:rsidRDefault="004530F5">
      <w:pPr>
        <w:pStyle w:val="Titre2"/>
        <w:spacing w:before="120"/>
        <w:rPr>
          <w:sz w:val="20"/>
          <w:szCs w:val="20"/>
        </w:rPr>
      </w:pPr>
    </w:p>
    <w:tbl>
      <w:tblPr>
        <w:tblStyle w:val="Grilledutableau"/>
        <w:tblpPr w:leftFromText="141" w:rightFromText="141" w:vertAnchor="text" w:horzAnchor="margin" w:tblpY="76"/>
        <w:tblW w:w="14170" w:type="dxa"/>
        <w:tblLook w:val="04A0" w:firstRow="1" w:lastRow="0" w:firstColumn="1" w:lastColumn="0" w:noHBand="0" w:noVBand="1"/>
      </w:tblPr>
      <w:tblGrid>
        <w:gridCol w:w="4106"/>
        <w:gridCol w:w="5340"/>
        <w:gridCol w:w="4724"/>
      </w:tblGrid>
      <w:tr w:rsidR="004530F5" w14:paraId="6E2686BA" w14:textId="77777777">
        <w:tc>
          <w:tcPr>
            <w:tcW w:w="4106" w:type="dxa"/>
          </w:tcPr>
          <w:p w14:paraId="1EE78955" w14:textId="77777777" w:rsidR="004530F5" w:rsidRDefault="00D04F14">
            <w:pPr>
              <w:spacing w:before="120"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lastRenderedPageBreak/>
              <w:t>Texte en vigueur</w:t>
            </w:r>
          </w:p>
        </w:tc>
        <w:tc>
          <w:tcPr>
            <w:tcW w:w="5340" w:type="dxa"/>
          </w:tcPr>
          <w:p w14:paraId="338C33B5" w14:textId="77777777" w:rsidR="004530F5" w:rsidRDefault="00D04F14">
            <w:pPr>
              <w:spacing w:before="120"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Proposition de texte</w:t>
            </w:r>
          </w:p>
        </w:tc>
        <w:tc>
          <w:tcPr>
            <w:tcW w:w="4724" w:type="dxa"/>
          </w:tcPr>
          <w:p w14:paraId="24A87894" w14:textId="77777777" w:rsidR="004530F5" w:rsidRDefault="00D04F14">
            <w:pPr>
              <w:spacing w:before="120" w:after="0" w:line="240" w:lineRule="auto"/>
              <w:rPr>
                <w:rFonts w:ascii="Times New Roman" w:eastAsia="Times New Roman" w:hAnsi="Times New Roman" w:cs="Times New Roman"/>
                <w:color w:val="538135" w:themeColor="accent6" w:themeShade="BF"/>
                <w:sz w:val="20"/>
                <w:szCs w:val="20"/>
                <w:lang w:eastAsia="fr-FR"/>
              </w:rPr>
            </w:pPr>
            <w:r>
              <w:rPr>
                <w:rFonts w:ascii="Times New Roman" w:eastAsia="Times New Roman" w:hAnsi="Times New Roman" w:cs="Times New Roman"/>
                <w:color w:val="538135" w:themeColor="accent6" w:themeShade="BF"/>
                <w:sz w:val="20"/>
                <w:szCs w:val="20"/>
                <w:lang w:eastAsia="fr-FR"/>
              </w:rPr>
              <w:t>motifs</w:t>
            </w:r>
          </w:p>
        </w:tc>
      </w:tr>
      <w:tr w:rsidR="004530F5" w14:paraId="2FCBACAC" w14:textId="77777777" w:rsidTr="00C34A67">
        <w:trPr>
          <w:trHeight w:val="2613"/>
        </w:trPr>
        <w:tc>
          <w:tcPr>
            <w:tcW w:w="4106" w:type="dxa"/>
          </w:tcPr>
          <w:p w14:paraId="570B79EA" w14:textId="77777777" w:rsidR="004530F5" w:rsidRDefault="00D04F14">
            <w:pPr>
              <w:pStyle w:val="NormalWeb"/>
              <w:spacing w:before="120" w:beforeAutospacing="0" w:after="0" w:afterAutospacing="0"/>
              <w:rPr>
                <w:sz w:val="20"/>
                <w:szCs w:val="20"/>
              </w:rPr>
            </w:pPr>
            <w:r>
              <w:rPr>
                <w:b/>
                <w:sz w:val="20"/>
                <w:szCs w:val="20"/>
              </w:rPr>
              <w:t>R211-68 :</w:t>
            </w:r>
            <w:r>
              <w:rPr>
                <w:sz w:val="20"/>
                <w:szCs w:val="20"/>
              </w:rPr>
              <w:t xml:space="preserve"> En cas d'incident ou d'accident, susceptible d'entraîner une pollution ou une pénurie d'eau, et sans préjudice de l'application de </w:t>
            </w:r>
            <w:hyperlink r:id="rId10">
              <w:r>
                <w:rPr>
                  <w:rStyle w:val="LienInternet"/>
                  <w:sz w:val="20"/>
                  <w:szCs w:val="20"/>
                </w:rPr>
                <w:t xml:space="preserve">l'article L. 211-5 </w:t>
              </w:r>
            </w:hyperlink>
            <w:r>
              <w:rPr>
                <w:sz w:val="20"/>
                <w:szCs w:val="20"/>
              </w:rPr>
              <w:t xml:space="preserve">à la personne à l'origine de cet incident ou accident, à l'exploitant ou au propriétaire, le ou les préfets prescrivent les mesures prévues à </w:t>
            </w:r>
            <w:hyperlink r:id="rId11">
              <w:r>
                <w:rPr>
                  <w:rStyle w:val="LienInternet"/>
                  <w:sz w:val="20"/>
                  <w:szCs w:val="20"/>
                </w:rPr>
                <w:t>l'article R. 211-66</w:t>
              </w:r>
            </w:hyperlink>
            <w:r>
              <w:rPr>
                <w:sz w:val="20"/>
                <w:szCs w:val="20"/>
              </w:rPr>
              <w:t xml:space="preserve"> rendues nécessaires par l'urgence. </w:t>
            </w:r>
          </w:p>
          <w:p w14:paraId="6E50F905" w14:textId="77777777" w:rsidR="004530F5" w:rsidRDefault="00D04F14">
            <w:pPr>
              <w:pStyle w:val="NormalWeb"/>
              <w:spacing w:before="120" w:beforeAutospacing="0" w:after="0" w:afterAutospacing="0"/>
              <w:rPr>
                <w:sz w:val="20"/>
                <w:szCs w:val="20"/>
              </w:rPr>
            </w:pPr>
            <w:r>
              <w:rPr>
                <w:sz w:val="20"/>
                <w:szCs w:val="20"/>
              </w:rPr>
              <w:t>Ils en informent le préfet coordonnateur de bassin.</w:t>
            </w:r>
          </w:p>
        </w:tc>
        <w:tc>
          <w:tcPr>
            <w:tcW w:w="5340" w:type="dxa"/>
          </w:tcPr>
          <w:p w14:paraId="336E2E0D" w14:textId="77777777" w:rsidR="004530F5" w:rsidRDefault="00D04F14">
            <w:pPr>
              <w:pStyle w:val="NormalWeb"/>
              <w:spacing w:before="120" w:beforeAutospacing="0" w:after="0" w:afterAutospacing="0"/>
              <w:rPr>
                <w:sz w:val="20"/>
                <w:szCs w:val="20"/>
              </w:rPr>
            </w:pPr>
            <w:r>
              <w:rPr>
                <w:sz w:val="20"/>
                <w:szCs w:val="20"/>
              </w:rPr>
              <w:t xml:space="preserve">R211-68 : En cas d'incident ou d'accident, susceptible d'entraîner une pollution ou une pénurie d'eau, et sans préjudice de l'application de l'article L. 211-5 à la personne à l'origine de cet incident ou accident, à l'exploitant ou au propriétaire, le ou les préfets prescrivent les mesures prévues à l'article R. 211-66 rendues nécessaires par l'urgence. </w:t>
            </w:r>
          </w:p>
          <w:p w14:paraId="0938F2F6" w14:textId="417D4CD2" w:rsidR="004530F5" w:rsidRDefault="00D04F14" w:rsidP="00C34A67">
            <w:pPr>
              <w:spacing w:before="120"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Ils en informent le préfet coordonnateur de bassin.</w:t>
            </w:r>
            <w:r>
              <w:rPr>
                <w:sz w:val="20"/>
                <w:szCs w:val="20"/>
              </w:rPr>
              <w:t xml:space="preserve"> </w:t>
            </w:r>
          </w:p>
        </w:tc>
        <w:tc>
          <w:tcPr>
            <w:tcW w:w="4724" w:type="dxa"/>
          </w:tcPr>
          <w:p w14:paraId="68CD8747" w14:textId="77777777" w:rsidR="004530F5" w:rsidRDefault="00D04F14">
            <w:pPr>
              <w:spacing w:before="120" w:after="0" w:line="240" w:lineRule="auto"/>
              <w:rPr>
                <w:rFonts w:ascii="Times New Roman" w:eastAsia="Times New Roman" w:hAnsi="Times New Roman" w:cs="Times New Roman"/>
                <w:color w:val="538135" w:themeColor="accent6" w:themeShade="BF"/>
                <w:sz w:val="20"/>
                <w:szCs w:val="20"/>
                <w:lang w:eastAsia="fr-FR"/>
              </w:rPr>
            </w:pPr>
            <w:r>
              <w:rPr>
                <w:rFonts w:ascii="Times New Roman" w:eastAsia="Times New Roman" w:hAnsi="Times New Roman" w:cs="Times New Roman"/>
                <w:color w:val="538135" w:themeColor="accent6" w:themeShade="BF"/>
                <w:sz w:val="20"/>
                <w:szCs w:val="20"/>
                <w:lang w:eastAsia="fr-FR"/>
              </w:rPr>
              <w:t>Sans changement</w:t>
            </w:r>
          </w:p>
        </w:tc>
      </w:tr>
    </w:tbl>
    <w:p w14:paraId="33AC2252" w14:textId="77777777" w:rsidR="004530F5" w:rsidRDefault="004530F5">
      <w:pPr>
        <w:pStyle w:val="Titre2"/>
        <w:rPr>
          <w:sz w:val="20"/>
          <w:szCs w:val="20"/>
        </w:rPr>
      </w:pPr>
    </w:p>
    <w:tbl>
      <w:tblPr>
        <w:tblStyle w:val="Grilledutableau"/>
        <w:tblpPr w:leftFromText="141" w:rightFromText="141" w:vertAnchor="text" w:horzAnchor="margin" w:tblpY="76"/>
        <w:tblW w:w="14170" w:type="dxa"/>
        <w:tblLook w:val="04A0" w:firstRow="1" w:lastRow="0" w:firstColumn="1" w:lastColumn="0" w:noHBand="0" w:noVBand="1"/>
      </w:tblPr>
      <w:tblGrid>
        <w:gridCol w:w="4106"/>
        <w:gridCol w:w="5340"/>
        <w:gridCol w:w="4724"/>
      </w:tblGrid>
      <w:tr w:rsidR="004530F5" w14:paraId="1D6300DA" w14:textId="77777777" w:rsidTr="007E5EB5">
        <w:trPr>
          <w:trHeight w:val="412"/>
        </w:trPr>
        <w:tc>
          <w:tcPr>
            <w:tcW w:w="4106" w:type="dxa"/>
          </w:tcPr>
          <w:p w14:paraId="6DAD637A" w14:textId="77777777" w:rsidR="004530F5" w:rsidRDefault="00D04F14" w:rsidP="007E5EB5">
            <w:pPr>
              <w:spacing w:before="120" w:after="6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Texte en vigueur</w:t>
            </w:r>
          </w:p>
        </w:tc>
        <w:tc>
          <w:tcPr>
            <w:tcW w:w="5340" w:type="dxa"/>
          </w:tcPr>
          <w:p w14:paraId="2FCE284C" w14:textId="77777777" w:rsidR="004530F5" w:rsidRDefault="00D04F14" w:rsidP="007E5EB5">
            <w:pPr>
              <w:spacing w:before="120" w:after="6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Proposition de texte</w:t>
            </w:r>
          </w:p>
        </w:tc>
        <w:tc>
          <w:tcPr>
            <w:tcW w:w="4724" w:type="dxa"/>
          </w:tcPr>
          <w:p w14:paraId="12ECB185" w14:textId="77777777" w:rsidR="004530F5" w:rsidRDefault="00D04F14" w:rsidP="007E5EB5">
            <w:pPr>
              <w:spacing w:before="120" w:after="60" w:line="240" w:lineRule="auto"/>
              <w:rPr>
                <w:rFonts w:ascii="Times New Roman" w:eastAsia="Times New Roman" w:hAnsi="Times New Roman" w:cs="Times New Roman"/>
                <w:color w:val="538135" w:themeColor="accent6" w:themeShade="BF"/>
                <w:sz w:val="20"/>
                <w:szCs w:val="20"/>
                <w:lang w:eastAsia="fr-FR"/>
              </w:rPr>
            </w:pPr>
            <w:r>
              <w:rPr>
                <w:rFonts w:ascii="Times New Roman" w:eastAsia="Times New Roman" w:hAnsi="Times New Roman" w:cs="Times New Roman"/>
                <w:color w:val="538135" w:themeColor="accent6" w:themeShade="BF"/>
                <w:sz w:val="20"/>
                <w:szCs w:val="20"/>
                <w:lang w:eastAsia="fr-FR"/>
              </w:rPr>
              <w:t>motifs</w:t>
            </w:r>
          </w:p>
        </w:tc>
      </w:tr>
      <w:tr w:rsidR="004530F5" w14:paraId="3917BC79" w14:textId="77777777">
        <w:trPr>
          <w:trHeight w:val="842"/>
        </w:trPr>
        <w:tc>
          <w:tcPr>
            <w:tcW w:w="4106" w:type="dxa"/>
          </w:tcPr>
          <w:p w14:paraId="707D6F18" w14:textId="25F90A6E" w:rsidR="004530F5" w:rsidRDefault="00D04F14" w:rsidP="00C34A67">
            <w:pPr>
              <w:pStyle w:val="NormalWeb"/>
              <w:spacing w:before="120" w:beforeAutospacing="0" w:after="0" w:afterAutospacing="0"/>
              <w:rPr>
                <w:sz w:val="20"/>
                <w:szCs w:val="20"/>
              </w:rPr>
            </w:pPr>
            <w:r>
              <w:rPr>
                <w:b/>
                <w:sz w:val="20"/>
                <w:szCs w:val="20"/>
              </w:rPr>
              <w:t>R211-69 :</w:t>
            </w:r>
            <w:r>
              <w:rPr>
                <w:sz w:val="20"/>
                <w:szCs w:val="20"/>
              </w:rPr>
              <w:t xml:space="preserve"> Lorsqu'il l'estime nécessaire, le préfet coordonnateur constate par arrêté la nécessité de mesures coordonnées dans plusieurs départements pour faire face aux situations mentionnées à l'article R. 211-66 dans le bassin dont il a la charge.</w:t>
            </w:r>
            <w:r w:rsidR="00D94C79">
              <w:rPr>
                <w:sz w:val="20"/>
                <w:szCs w:val="20"/>
              </w:rPr>
              <w:t xml:space="preserve"> Dans cette hypothèse, les préfets des départements concernés prennent des arrêtés conformes aux orientations du préfet</w:t>
            </w:r>
            <w:r w:rsidR="00975997">
              <w:rPr>
                <w:sz w:val="20"/>
                <w:szCs w:val="20"/>
              </w:rPr>
              <w:t xml:space="preserve"> coordonnateur. </w:t>
            </w:r>
          </w:p>
        </w:tc>
        <w:tc>
          <w:tcPr>
            <w:tcW w:w="5340" w:type="dxa"/>
          </w:tcPr>
          <w:p w14:paraId="171BEB2D" w14:textId="13E76605" w:rsidR="004530F5" w:rsidRPr="007E5EB5" w:rsidRDefault="00D04F14" w:rsidP="007E5EB5">
            <w:pPr>
              <w:spacing w:before="120"/>
              <w:rPr>
                <w:rFonts w:ascii="Times New Roman" w:eastAsia="Times New Roman" w:hAnsi="Times New Roman" w:cs="Times New Roman"/>
                <w:color w:val="0070C0"/>
                <w:sz w:val="20"/>
                <w:szCs w:val="20"/>
                <w:lang w:eastAsia="fr-FR"/>
              </w:rPr>
            </w:pPr>
            <w:r>
              <w:rPr>
                <w:b/>
                <w:sz w:val="20"/>
                <w:szCs w:val="20"/>
              </w:rPr>
              <w:t xml:space="preserve">R211-69 : </w:t>
            </w:r>
            <w:r w:rsidRPr="00163269">
              <w:rPr>
                <w:rFonts w:ascii="Times New Roman" w:eastAsia="Times New Roman" w:hAnsi="Times New Roman" w:cs="Times New Roman"/>
                <w:color w:val="0070C0"/>
                <w:sz w:val="20"/>
                <w:szCs w:val="20"/>
                <w:lang w:eastAsia="fr-FR"/>
              </w:rPr>
              <w:t xml:space="preserve">Par un arrêté dit arrêté d’orientations, le préfet coordonnateur de bassin désigne les sous bassins et nappes d’accompagnement associées ou les masses d’eau ou secteurs de masses d’eau souterraine devant faire l’objet d’une coordination interdépartementale renforcée. Il désigne un des préfets concernés, en tant que préfet référent, chargé de piloter et coordonner l’élaboration et le suivi d’un arrêté cadre tel que prévu à l’article R.211-67 couvrant le périmètre de coordination interdépartementale.  </w:t>
            </w:r>
            <w:r w:rsidR="004F15B4" w:rsidRPr="00C50BEA">
              <w:rPr>
                <w:rFonts w:ascii="Times New Roman" w:eastAsia="Times New Roman" w:hAnsi="Times New Roman" w:cs="Times New Roman"/>
                <w:color w:val="0070C0"/>
                <w:sz w:val="20"/>
                <w:szCs w:val="20"/>
                <w:lang w:eastAsia="fr-FR"/>
              </w:rPr>
              <w:t xml:space="preserve"> Les </w:t>
            </w:r>
            <w:r w:rsidR="004F15B4" w:rsidRPr="00163269">
              <w:rPr>
                <w:rFonts w:ascii="Times New Roman" w:eastAsia="Times New Roman" w:hAnsi="Times New Roman" w:cs="Times New Roman"/>
                <w:color w:val="0070C0"/>
                <w:sz w:val="20"/>
                <w:szCs w:val="20"/>
                <w:lang w:eastAsia="fr-FR"/>
              </w:rPr>
              <w:t>préfets des départements concernés prennent des arrêtés-cadre conformes aux orientations du préfet coordonnateur.</w:t>
            </w:r>
          </w:p>
          <w:p w14:paraId="5EE6BDEB" w14:textId="4BE41604" w:rsidR="00163269" w:rsidRDefault="00D04F14">
            <w:pPr>
              <w:spacing w:after="0" w:line="240" w:lineRule="auto"/>
              <w:rPr>
                <w:rFonts w:ascii="Times New Roman" w:hAnsi="Times New Roman" w:cs="Times New Roman"/>
                <w:color w:val="0070C0"/>
                <w:sz w:val="20"/>
                <w:szCs w:val="20"/>
              </w:rPr>
            </w:pPr>
            <w:r>
              <w:rPr>
                <w:rFonts w:ascii="Times New Roman" w:hAnsi="Times New Roman" w:cs="Times New Roman"/>
                <w:color w:val="0070C0"/>
                <w:sz w:val="20"/>
                <w:szCs w:val="20"/>
              </w:rPr>
              <w:t>L’arrêté d’orientation fixe</w:t>
            </w:r>
            <w:r w:rsidR="001E022C">
              <w:rPr>
                <w:rFonts w:ascii="Times New Roman" w:hAnsi="Times New Roman" w:cs="Times New Roman"/>
                <w:color w:val="0070C0"/>
                <w:sz w:val="20"/>
                <w:szCs w:val="20"/>
              </w:rPr>
              <w:t xml:space="preserve"> </w:t>
            </w:r>
            <w:r>
              <w:rPr>
                <w:rFonts w:ascii="Times New Roman" w:hAnsi="Times New Roman" w:cs="Times New Roman"/>
                <w:color w:val="0070C0"/>
                <w:sz w:val="20"/>
                <w:szCs w:val="20"/>
              </w:rPr>
              <w:t xml:space="preserve">également </w:t>
            </w:r>
            <w:r w:rsidR="001E022C">
              <w:rPr>
                <w:rFonts w:ascii="Times New Roman" w:hAnsi="Times New Roman" w:cs="Times New Roman"/>
                <w:color w:val="0070C0"/>
                <w:sz w:val="20"/>
                <w:szCs w:val="20"/>
              </w:rPr>
              <w:t xml:space="preserve"> sur tout le bassin </w:t>
            </w:r>
            <w:r>
              <w:rPr>
                <w:rFonts w:ascii="Times New Roman" w:hAnsi="Times New Roman" w:cs="Times New Roman"/>
                <w:color w:val="0070C0"/>
                <w:sz w:val="20"/>
                <w:szCs w:val="20"/>
              </w:rPr>
              <w:t>les orientations</w:t>
            </w:r>
            <w:r w:rsidR="001E022C">
              <w:rPr>
                <w:rFonts w:ascii="Times New Roman" w:hAnsi="Times New Roman" w:cs="Times New Roman"/>
                <w:color w:val="0070C0"/>
                <w:sz w:val="20"/>
                <w:szCs w:val="20"/>
              </w:rPr>
              <w:t xml:space="preserve"> relatives aux</w:t>
            </w:r>
            <w:r>
              <w:rPr>
                <w:rFonts w:ascii="Times New Roman" w:hAnsi="Times New Roman" w:cs="Times New Roman"/>
                <w:color w:val="0070C0"/>
                <w:sz w:val="20"/>
                <w:szCs w:val="20"/>
              </w:rPr>
              <w:t xml:space="preserve"> conditions de déclenchement, </w:t>
            </w:r>
            <w:r w:rsidR="001E022C">
              <w:rPr>
                <w:rFonts w:ascii="Times New Roman" w:hAnsi="Times New Roman" w:cs="Times New Roman"/>
                <w:color w:val="0070C0"/>
                <w:sz w:val="20"/>
                <w:szCs w:val="20"/>
              </w:rPr>
              <w:t xml:space="preserve">aux </w:t>
            </w:r>
            <w:r>
              <w:rPr>
                <w:rFonts w:ascii="Times New Roman" w:hAnsi="Times New Roman" w:cs="Times New Roman"/>
                <w:color w:val="0070C0"/>
                <w:sz w:val="20"/>
                <w:szCs w:val="20"/>
              </w:rPr>
              <w:t xml:space="preserve">mesures de restriction par usage, sous-catégories d’usages et types d’activité, </w:t>
            </w:r>
            <w:r w:rsidR="00BC17FD" w:rsidRPr="00163269">
              <w:rPr>
                <w:rFonts w:ascii="Times New Roman" w:hAnsi="Times New Roman" w:cs="Times New Roman"/>
                <w:color w:val="0070C0"/>
                <w:sz w:val="20"/>
                <w:szCs w:val="20"/>
              </w:rPr>
              <w:t>aux</w:t>
            </w:r>
            <w:r w:rsidR="001E022C" w:rsidRPr="00163269">
              <w:rPr>
                <w:rFonts w:ascii="Times New Roman" w:hAnsi="Times New Roman" w:cs="Times New Roman"/>
                <w:color w:val="0070C0"/>
                <w:sz w:val="20"/>
                <w:szCs w:val="20"/>
              </w:rPr>
              <w:t xml:space="preserve"> conditions selon lesquelles le préfet peut, à titre excepti</w:t>
            </w:r>
            <w:r w:rsidR="00163269">
              <w:rPr>
                <w:rFonts w:ascii="Times New Roman" w:hAnsi="Times New Roman" w:cs="Times New Roman"/>
                <w:color w:val="0070C0"/>
                <w:sz w:val="20"/>
                <w:szCs w:val="20"/>
              </w:rPr>
              <w:t xml:space="preserve">onnel, à la demande d’un usager, </w:t>
            </w:r>
            <w:r w:rsidR="001E022C" w:rsidRPr="00163269">
              <w:rPr>
                <w:rFonts w:ascii="Times New Roman" w:hAnsi="Times New Roman" w:cs="Times New Roman"/>
                <w:color w:val="0070C0"/>
                <w:sz w:val="20"/>
                <w:szCs w:val="20"/>
              </w:rPr>
              <w:t>adapter les mesures de restriction s’appliquant à son usage, e</w:t>
            </w:r>
            <w:r w:rsidR="00BC17FD" w:rsidRPr="00163269">
              <w:rPr>
                <w:rFonts w:ascii="Times New Roman" w:hAnsi="Times New Roman" w:cs="Times New Roman"/>
                <w:color w:val="0070C0"/>
                <w:sz w:val="20"/>
                <w:szCs w:val="20"/>
              </w:rPr>
              <w:t>t aux modalités de prise de décision des restrictions</w:t>
            </w:r>
            <w:r w:rsidR="001E022C" w:rsidRPr="00163269">
              <w:rPr>
                <w:rFonts w:ascii="Times New Roman" w:hAnsi="Times New Roman" w:cs="Times New Roman"/>
                <w:color w:val="0070C0"/>
                <w:sz w:val="20"/>
                <w:szCs w:val="20"/>
              </w:rPr>
              <w:t xml:space="preserve">.  </w:t>
            </w:r>
            <w:r>
              <w:rPr>
                <w:rFonts w:ascii="Times New Roman" w:hAnsi="Times New Roman" w:cs="Times New Roman"/>
                <w:color w:val="0070C0"/>
                <w:sz w:val="20"/>
                <w:szCs w:val="20"/>
              </w:rPr>
              <w:t xml:space="preserve"> </w:t>
            </w:r>
          </w:p>
          <w:p w14:paraId="7AE67BA9" w14:textId="77777777" w:rsidR="00163269" w:rsidRDefault="00163269">
            <w:pPr>
              <w:spacing w:after="0" w:line="240" w:lineRule="auto"/>
              <w:rPr>
                <w:rFonts w:ascii="Times New Roman" w:hAnsi="Times New Roman" w:cs="Times New Roman"/>
                <w:color w:val="0070C0"/>
                <w:sz w:val="20"/>
                <w:szCs w:val="20"/>
              </w:rPr>
            </w:pPr>
          </w:p>
          <w:p w14:paraId="6AD87F12" w14:textId="66110678" w:rsidR="004530F5" w:rsidRDefault="00D04F14" w:rsidP="00163269">
            <w:pPr>
              <w:spacing w:after="0" w:line="240" w:lineRule="auto"/>
              <w:rPr>
                <w:rFonts w:ascii="Times New Roman" w:eastAsia="Microsoft YaHei" w:hAnsi="Times New Roman" w:cs="Times New Roman"/>
                <w:color w:val="2221B6"/>
                <w:sz w:val="20"/>
                <w:szCs w:val="20"/>
              </w:rPr>
            </w:pPr>
            <w:r w:rsidRPr="00163269">
              <w:rPr>
                <w:rFonts w:ascii="Times New Roman" w:hAnsi="Times New Roman" w:cs="Times New Roman"/>
                <w:color w:val="4472C4" w:themeColor="accent5"/>
                <w:sz w:val="20"/>
                <w:szCs w:val="20"/>
              </w:rPr>
              <w:t>Une zone d’alerte doit</w:t>
            </w:r>
            <w:r>
              <w:rPr>
                <w:rFonts w:ascii="Times New Roman" w:hAnsi="Times New Roman" w:cs="Times New Roman"/>
                <w:color w:val="4472C4" w:themeColor="accent5"/>
                <w:sz w:val="20"/>
                <w:szCs w:val="20"/>
              </w:rPr>
              <w:t xml:space="preserve"> faire l’objet d’un seul arrêté d’orientation et d’un seul arrêté cadre.</w:t>
            </w:r>
          </w:p>
        </w:tc>
        <w:tc>
          <w:tcPr>
            <w:tcW w:w="4724" w:type="dxa"/>
          </w:tcPr>
          <w:p w14:paraId="0E8FC4E3" w14:textId="77777777" w:rsidR="004530F5" w:rsidRDefault="00D04F14">
            <w:pPr>
              <w:spacing w:before="120" w:after="0" w:line="240" w:lineRule="auto"/>
              <w:rPr>
                <w:rFonts w:ascii="Times New Roman" w:eastAsia="Times New Roman" w:hAnsi="Times New Roman" w:cs="Times New Roman"/>
                <w:color w:val="538135" w:themeColor="accent6" w:themeShade="BF"/>
                <w:sz w:val="20"/>
                <w:szCs w:val="20"/>
                <w:lang w:eastAsia="fr-FR"/>
              </w:rPr>
            </w:pPr>
            <w:r>
              <w:rPr>
                <w:rFonts w:ascii="Times New Roman" w:eastAsia="Times New Roman" w:hAnsi="Times New Roman" w:cs="Times New Roman"/>
                <w:color w:val="538135" w:themeColor="accent6" w:themeShade="BF"/>
                <w:sz w:val="20"/>
                <w:szCs w:val="20"/>
                <w:lang w:eastAsia="fr-FR"/>
              </w:rPr>
              <w:t>Nommer les types d’arrêtés pour une meilleure lisibilité. Ici : l’arrêté du PCB est appelé « arrêté d’orientations ».</w:t>
            </w:r>
          </w:p>
          <w:p w14:paraId="3C80E8F2" w14:textId="77777777" w:rsidR="004530F5" w:rsidRDefault="00D04F14">
            <w:pPr>
              <w:spacing w:before="120" w:after="0" w:line="240" w:lineRule="auto"/>
              <w:rPr>
                <w:rFonts w:ascii="Times New Roman" w:eastAsia="Times New Roman" w:hAnsi="Times New Roman" w:cs="Times New Roman"/>
                <w:color w:val="538135" w:themeColor="accent6" w:themeShade="BF"/>
                <w:sz w:val="20"/>
                <w:szCs w:val="20"/>
                <w:lang w:eastAsia="fr-FR"/>
              </w:rPr>
            </w:pPr>
            <w:r>
              <w:rPr>
                <w:rFonts w:ascii="Times New Roman" w:eastAsia="Times New Roman" w:hAnsi="Times New Roman" w:cs="Times New Roman"/>
                <w:color w:val="538135" w:themeColor="accent6" w:themeShade="BF"/>
                <w:sz w:val="20"/>
                <w:szCs w:val="20"/>
                <w:lang w:eastAsia="fr-FR"/>
              </w:rPr>
              <w:t>Préciser que le PCB, lorsqu’il l’estime nécessaire, constate par arrêté la nécessité de mesures coordonnées dans plusieurs départements et désigne le cas échéant des zones d’alerte interdépartementales.  Afin de décliner ces orientations au niveau interdépartemental, un préfet référent est désigné pour élaborer l’arrêté cadre interdépartemental.</w:t>
            </w:r>
          </w:p>
          <w:p w14:paraId="38755365" w14:textId="77777777" w:rsidR="004530F5" w:rsidRDefault="004530F5">
            <w:pPr>
              <w:spacing w:before="120" w:after="0" w:line="240" w:lineRule="auto"/>
              <w:rPr>
                <w:rFonts w:ascii="Times New Roman" w:eastAsia="Times New Roman" w:hAnsi="Times New Roman" w:cs="Times New Roman"/>
                <w:color w:val="538135" w:themeColor="accent6" w:themeShade="BF"/>
                <w:sz w:val="20"/>
                <w:szCs w:val="20"/>
                <w:lang w:eastAsia="fr-FR"/>
              </w:rPr>
            </w:pPr>
          </w:p>
          <w:p w14:paraId="4CCEEAEF" w14:textId="52C9A82B" w:rsidR="004530F5" w:rsidRDefault="00D04F14" w:rsidP="00C34A67">
            <w:pPr>
              <w:spacing w:before="120" w:after="0" w:line="240" w:lineRule="auto"/>
              <w:rPr>
                <w:rFonts w:ascii="Times New Roman" w:eastAsia="Times New Roman" w:hAnsi="Times New Roman" w:cs="Times New Roman"/>
                <w:color w:val="538135" w:themeColor="accent6" w:themeShade="BF"/>
                <w:sz w:val="20"/>
                <w:szCs w:val="20"/>
                <w:lang w:eastAsia="fr-FR"/>
              </w:rPr>
            </w:pPr>
            <w:r>
              <w:rPr>
                <w:rFonts w:ascii="Times New Roman" w:eastAsia="Times New Roman" w:hAnsi="Times New Roman" w:cs="Times New Roman"/>
                <w:color w:val="538135" w:themeColor="accent6" w:themeShade="BF"/>
                <w:sz w:val="20"/>
                <w:szCs w:val="20"/>
                <w:lang w:eastAsia="fr-FR"/>
              </w:rPr>
              <w:t>L’arrêté d’orientation fixe des orientations générales sur l’harmonisation des conditions de déclenchement, les mesures générales de restrictions par usage et sous usages, les conditions pour</w:t>
            </w:r>
            <w:r w:rsidR="00163269">
              <w:rPr>
                <w:rFonts w:ascii="Times New Roman" w:eastAsia="Times New Roman" w:hAnsi="Times New Roman" w:cs="Times New Roman"/>
                <w:color w:val="538135" w:themeColor="accent6" w:themeShade="BF"/>
                <w:sz w:val="20"/>
                <w:szCs w:val="20"/>
                <w:lang w:eastAsia="fr-FR"/>
              </w:rPr>
              <w:t xml:space="preserve"> adapter les mesures </w:t>
            </w:r>
            <w:r>
              <w:rPr>
                <w:rFonts w:ascii="Times New Roman" w:eastAsia="Times New Roman" w:hAnsi="Times New Roman" w:cs="Times New Roman"/>
                <w:color w:val="538135" w:themeColor="accent6" w:themeShade="BF"/>
                <w:sz w:val="20"/>
                <w:szCs w:val="20"/>
                <w:lang w:eastAsia="fr-FR"/>
              </w:rPr>
              <w:t>qui s’imposeront aux dispositions prises par l’arrêté-cadre départ</w:t>
            </w:r>
            <w:r w:rsidR="008F5C8D">
              <w:rPr>
                <w:rFonts w:ascii="Times New Roman" w:eastAsia="Times New Roman" w:hAnsi="Times New Roman" w:cs="Times New Roman"/>
                <w:color w:val="538135" w:themeColor="accent6" w:themeShade="BF"/>
                <w:sz w:val="20"/>
                <w:szCs w:val="20"/>
                <w:lang w:eastAsia="fr-FR"/>
              </w:rPr>
              <w:t>emental ou inter-départemental et les modalités de pris</w:t>
            </w:r>
            <w:r w:rsidR="00C34A67">
              <w:rPr>
                <w:rFonts w:ascii="Times New Roman" w:eastAsia="Times New Roman" w:hAnsi="Times New Roman" w:cs="Times New Roman"/>
                <w:color w:val="538135" w:themeColor="accent6" w:themeShade="BF"/>
                <w:sz w:val="20"/>
                <w:szCs w:val="20"/>
                <w:lang w:eastAsia="fr-FR"/>
              </w:rPr>
              <w:t>e de décision des restrictions.</w:t>
            </w:r>
          </w:p>
        </w:tc>
      </w:tr>
    </w:tbl>
    <w:p w14:paraId="5EA64C24" w14:textId="77777777" w:rsidR="004530F5" w:rsidRDefault="00D04F14">
      <w:pPr>
        <w:pStyle w:val="Titre2"/>
        <w:spacing w:before="120"/>
        <w:rPr>
          <w:sz w:val="18"/>
          <w:szCs w:val="18"/>
        </w:rPr>
      </w:pPr>
      <w:r>
        <w:rPr>
          <w:rStyle w:val="Titre2Car"/>
          <w:b/>
          <w:sz w:val="20"/>
          <w:szCs w:val="20"/>
        </w:rPr>
        <w:lastRenderedPageBreak/>
        <w:t>Article R211-70</w:t>
      </w:r>
      <w:r>
        <w:rPr>
          <w:sz w:val="20"/>
          <w:szCs w:val="20"/>
        </w:rPr>
        <w:t xml:space="preserve"> </w:t>
      </w:r>
    </w:p>
    <w:tbl>
      <w:tblPr>
        <w:tblStyle w:val="Grilledutableau"/>
        <w:tblpPr w:leftFromText="141" w:rightFromText="141" w:vertAnchor="text" w:horzAnchor="margin" w:tblpY="76"/>
        <w:tblW w:w="14170" w:type="dxa"/>
        <w:tblLook w:val="04A0" w:firstRow="1" w:lastRow="0" w:firstColumn="1" w:lastColumn="0" w:noHBand="0" w:noVBand="1"/>
      </w:tblPr>
      <w:tblGrid>
        <w:gridCol w:w="4106"/>
        <w:gridCol w:w="5340"/>
        <w:gridCol w:w="4724"/>
      </w:tblGrid>
      <w:tr w:rsidR="004530F5" w14:paraId="4CE8CBCC" w14:textId="77777777">
        <w:tc>
          <w:tcPr>
            <w:tcW w:w="4106" w:type="dxa"/>
          </w:tcPr>
          <w:p w14:paraId="2CC3E748" w14:textId="77777777" w:rsidR="004530F5" w:rsidRDefault="00D04F14">
            <w:pPr>
              <w:spacing w:before="120"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Texte en vigueur</w:t>
            </w:r>
          </w:p>
        </w:tc>
        <w:tc>
          <w:tcPr>
            <w:tcW w:w="5340" w:type="dxa"/>
          </w:tcPr>
          <w:p w14:paraId="728C85B4" w14:textId="77777777" w:rsidR="004530F5" w:rsidRDefault="00D04F14">
            <w:pPr>
              <w:spacing w:before="120"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Proposition de texte</w:t>
            </w:r>
          </w:p>
        </w:tc>
        <w:tc>
          <w:tcPr>
            <w:tcW w:w="4724" w:type="dxa"/>
          </w:tcPr>
          <w:p w14:paraId="13F22E59" w14:textId="77777777" w:rsidR="004530F5" w:rsidRDefault="00D04F14">
            <w:pPr>
              <w:spacing w:before="120" w:after="0" w:line="240" w:lineRule="auto"/>
              <w:rPr>
                <w:rFonts w:ascii="Times New Roman" w:eastAsia="Times New Roman" w:hAnsi="Times New Roman" w:cs="Times New Roman"/>
                <w:color w:val="538135" w:themeColor="accent6" w:themeShade="BF"/>
                <w:sz w:val="20"/>
                <w:szCs w:val="20"/>
                <w:lang w:eastAsia="fr-FR"/>
              </w:rPr>
            </w:pPr>
            <w:r>
              <w:rPr>
                <w:rFonts w:ascii="Times New Roman" w:eastAsia="Times New Roman" w:hAnsi="Times New Roman" w:cs="Times New Roman"/>
                <w:color w:val="538135" w:themeColor="accent6" w:themeShade="BF"/>
                <w:sz w:val="20"/>
                <w:szCs w:val="20"/>
                <w:lang w:eastAsia="fr-FR"/>
              </w:rPr>
              <w:t>motifs</w:t>
            </w:r>
          </w:p>
        </w:tc>
      </w:tr>
      <w:tr w:rsidR="004530F5" w14:paraId="748A9DD2" w14:textId="77777777">
        <w:tc>
          <w:tcPr>
            <w:tcW w:w="4106" w:type="dxa"/>
          </w:tcPr>
          <w:p w14:paraId="07E1D317" w14:textId="11430AF6" w:rsidR="004530F5" w:rsidRDefault="00D04F14" w:rsidP="007E5EB5">
            <w:pPr>
              <w:pStyle w:val="NormalWeb"/>
              <w:spacing w:before="120" w:beforeAutospacing="0" w:after="0" w:afterAutospacing="0"/>
              <w:rPr>
                <w:sz w:val="20"/>
                <w:szCs w:val="20"/>
              </w:rPr>
            </w:pPr>
            <w:r>
              <w:rPr>
                <w:sz w:val="20"/>
                <w:szCs w:val="20"/>
              </w:rPr>
              <w:t xml:space="preserve">Les arrêtés mentionnés aux </w:t>
            </w:r>
            <w:hyperlink r:id="rId12">
              <w:r>
                <w:rPr>
                  <w:rStyle w:val="LienInternet"/>
                  <w:sz w:val="20"/>
                  <w:szCs w:val="20"/>
                </w:rPr>
                <w:t xml:space="preserve">articles R. 211-66, R. 211-67 </w:t>
              </w:r>
            </w:hyperlink>
            <w:r>
              <w:rPr>
                <w:sz w:val="20"/>
                <w:szCs w:val="20"/>
              </w:rPr>
              <w:t xml:space="preserve">et </w:t>
            </w:r>
            <w:hyperlink r:id="rId13">
              <w:r>
                <w:rPr>
                  <w:rStyle w:val="LienInternet"/>
                  <w:sz w:val="20"/>
                  <w:szCs w:val="20"/>
                </w:rPr>
                <w:t>R. 211-69</w:t>
              </w:r>
            </w:hyperlink>
            <w:r>
              <w:rPr>
                <w:sz w:val="20"/>
                <w:szCs w:val="20"/>
              </w:rPr>
              <w:t xml:space="preserve"> sont adressés pour affichage en mairie au maire de chaque commune concernée et mention en est insérée en caractères apparents dans deux journaux régionaux ou locaux diffusés dans le département.</w:t>
            </w:r>
          </w:p>
        </w:tc>
        <w:tc>
          <w:tcPr>
            <w:tcW w:w="5340" w:type="dxa"/>
          </w:tcPr>
          <w:p w14:paraId="42225225" w14:textId="77777777" w:rsidR="007E5EB5" w:rsidRDefault="00D04F14" w:rsidP="007E5EB5">
            <w:pPr>
              <w:pStyle w:val="NormalWeb"/>
              <w:spacing w:before="120" w:beforeAutospacing="0" w:after="0" w:afterAutospacing="0"/>
              <w:rPr>
                <w:color w:val="4472C4" w:themeColor="accent5"/>
                <w:sz w:val="20"/>
                <w:szCs w:val="20"/>
              </w:rPr>
            </w:pPr>
            <w:r>
              <w:rPr>
                <w:sz w:val="20"/>
                <w:szCs w:val="20"/>
              </w:rPr>
              <w:t xml:space="preserve">Les arrêtés mentionnés aux articles R. 211-66, R. 211-67 et R. 211-69 </w:t>
            </w:r>
            <w:r>
              <w:rPr>
                <w:color w:val="0070C0"/>
                <w:sz w:val="20"/>
                <w:szCs w:val="20"/>
              </w:rPr>
              <w:t>font l’objet d’une publication au recueil administratif du département, et d’une publication sur le site internet des services de l’Etat dans les départements concernés pendant toute la période de restriction</w:t>
            </w:r>
            <w:r>
              <w:rPr>
                <w:color w:val="4472C4" w:themeColor="accent5"/>
                <w:sz w:val="20"/>
                <w:szCs w:val="20"/>
              </w:rPr>
              <w:t xml:space="preserve">. Ils seront également adressés pour affichage en mairie au maire de chaque commune concernée. </w:t>
            </w:r>
          </w:p>
          <w:p w14:paraId="2B4D5CAC" w14:textId="60734B73" w:rsidR="004530F5" w:rsidRDefault="00D04F14" w:rsidP="007E5EB5">
            <w:pPr>
              <w:pStyle w:val="NormalWeb"/>
              <w:spacing w:before="120" w:beforeAutospacing="0" w:after="0" w:afterAutospacing="0"/>
              <w:rPr>
                <w:sz w:val="20"/>
                <w:szCs w:val="20"/>
              </w:rPr>
            </w:pPr>
            <w:r>
              <w:rPr>
                <w:color w:val="0070C0"/>
                <w:sz w:val="20"/>
                <w:szCs w:val="20"/>
              </w:rPr>
              <w:t xml:space="preserve">A l’exception </w:t>
            </w:r>
            <w:r w:rsidRPr="00BC17FD">
              <w:rPr>
                <w:color w:val="0070C0"/>
                <w:sz w:val="20"/>
                <w:szCs w:val="20"/>
              </w:rPr>
              <w:t>des</w:t>
            </w:r>
            <w:r w:rsidR="00BC17FD" w:rsidRPr="00C50BEA">
              <w:rPr>
                <w:color w:val="0070C0"/>
                <w:sz w:val="20"/>
                <w:szCs w:val="20"/>
              </w:rPr>
              <w:t xml:space="preserve"> décisions individuelles</w:t>
            </w:r>
            <w:r w:rsidR="00BC17FD" w:rsidDel="00BC17FD">
              <w:rPr>
                <w:color w:val="0070C0"/>
                <w:sz w:val="20"/>
                <w:szCs w:val="20"/>
              </w:rPr>
              <w:t xml:space="preserve"> </w:t>
            </w:r>
            <w:r>
              <w:rPr>
                <w:color w:val="0070C0"/>
                <w:sz w:val="20"/>
                <w:szCs w:val="20"/>
              </w:rPr>
              <w:t xml:space="preserve">prises, le cas échéant, en application du R.211-66, ces arrêtés sont également publiés sur </w:t>
            </w:r>
            <w:r w:rsidR="00BC17FD">
              <w:rPr>
                <w:color w:val="0070C0"/>
                <w:sz w:val="20"/>
                <w:szCs w:val="20"/>
              </w:rPr>
              <w:t xml:space="preserve">le </w:t>
            </w:r>
            <w:r>
              <w:rPr>
                <w:color w:val="0070C0"/>
                <w:sz w:val="20"/>
                <w:szCs w:val="20"/>
              </w:rPr>
              <w:t>site internet national</w:t>
            </w:r>
            <w:r w:rsidR="00706AD5">
              <w:rPr>
                <w:color w:val="0070C0"/>
                <w:sz w:val="20"/>
                <w:szCs w:val="20"/>
              </w:rPr>
              <w:t xml:space="preserve"> </w:t>
            </w:r>
            <w:r w:rsidR="00BC17FD">
              <w:rPr>
                <w:color w:val="0070C0"/>
                <w:sz w:val="20"/>
                <w:szCs w:val="20"/>
              </w:rPr>
              <w:t xml:space="preserve"> Propluvia.</w:t>
            </w:r>
          </w:p>
        </w:tc>
        <w:tc>
          <w:tcPr>
            <w:tcW w:w="4724" w:type="dxa"/>
          </w:tcPr>
          <w:p w14:paraId="51E90C53" w14:textId="77777777" w:rsidR="004530F5" w:rsidRDefault="00D04F14">
            <w:pPr>
              <w:spacing w:before="120" w:after="0" w:line="240" w:lineRule="auto"/>
              <w:rPr>
                <w:rFonts w:ascii="Times New Roman" w:eastAsia="Times New Roman" w:hAnsi="Times New Roman" w:cs="Times New Roman"/>
                <w:color w:val="538135" w:themeColor="accent6" w:themeShade="BF"/>
                <w:sz w:val="20"/>
                <w:szCs w:val="20"/>
                <w:lang w:eastAsia="fr-FR"/>
              </w:rPr>
            </w:pPr>
            <w:r>
              <w:rPr>
                <w:rFonts w:ascii="Times New Roman" w:eastAsia="Times New Roman" w:hAnsi="Times New Roman" w:cs="Times New Roman"/>
                <w:color w:val="538135" w:themeColor="accent6" w:themeShade="BF"/>
                <w:sz w:val="20"/>
                <w:szCs w:val="20"/>
                <w:lang w:eastAsia="fr-FR"/>
              </w:rPr>
              <w:t>Moderniser les vecteurs de communication</w:t>
            </w:r>
          </w:p>
        </w:tc>
      </w:tr>
    </w:tbl>
    <w:p w14:paraId="04D5810C" w14:textId="77777777" w:rsidR="004530F5" w:rsidRDefault="004530F5" w:rsidP="007E5EB5">
      <w:pPr>
        <w:pStyle w:val="NormalWeb"/>
        <w:spacing w:before="120" w:beforeAutospacing="0" w:after="0" w:afterAutospacing="0"/>
      </w:pPr>
      <w:bookmarkStart w:id="1" w:name="_Toc24468040"/>
      <w:bookmarkEnd w:id="1"/>
    </w:p>
    <w:sectPr w:rsidR="004530F5" w:rsidSect="007E5EB5">
      <w:footerReference w:type="default" r:id="rId14"/>
      <w:pgSz w:w="16838" w:h="11906" w:orient="landscape"/>
      <w:pgMar w:top="1418" w:right="1418" w:bottom="1276" w:left="1418"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51706" w14:textId="77777777" w:rsidR="00867328" w:rsidRDefault="00867328">
      <w:pPr>
        <w:spacing w:after="0" w:line="240" w:lineRule="auto"/>
      </w:pPr>
      <w:r>
        <w:separator/>
      </w:r>
    </w:p>
  </w:endnote>
  <w:endnote w:type="continuationSeparator" w:id="0">
    <w:p w14:paraId="46FB3C47" w14:textId="77777777" w:rsidR="00867328" w:rsidRDefault="00867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ohit Devanagari">
    <w:altName w:val="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03E74" w14:textId="77777777" w:rsidR="004530F5" w:rsidRDefault="00D04F14">
    <w:pPr>
      <w:pStyle w:val="Pieddepage"/>
    </w:pPr>
    <w:r>
      <w:rPr>
        <w:noProof/>
        <w:lang w:eastAsia="fr-FR"/>
      </w:rPr>
      <mc:AlternateContent>
        <mc:Choice Requires="wps">
          <w:drawing>
            <wp:anchor distT="0" distB="0" distL="0" distR="0" simplePos="0" relativeHeight="7" behindDoc="1" locked="0" layoutInCell="1" allowOverlap="1" wp14:anchorId="607082A4" wp14:editId="5750C337">
              <wp:simplePos x="0" y="0"/>
              <wp:positionH relativeFrom="rightMargin">
                <wp:align>left</wp:align>
              </wp:positionH>
              <wp:positionV relativeFrom="page">
                <wp:posOffset>6722745</wp:posOffset>
              </wp:positionV>
              <wp:extent cx="368935" cy="274955"/>
              <wp:effectExtent l="9525" t="9525" r="12700" b="11430"/>
              <wp:wrapNone/>
              <wp:docPr id="1" name="Carré corné 1"/>
              <wp:cNvGraphicFramePr/>
              <a:graphic xmlns:a="http://schemas.openxmlformats.org/drawingml/2006/main">
                <a:graphicData uri="http://schemas.microsoft.com/office/word/2010/wordprocessingShape">
                  <wps:wsp>
                    <wps:cNvSpPr/>
                    <wps:spPr>
                      <a:xfrm>
                        <a:off x="0" y="0"/>
                        <a:ext cx="368280" cy="274320"/>
                      </a:xfrm>
                      <a:prstGeom prst="foldedCorner">
                        <a:avLst>
                          <a:gd name="adj" fmla="val 34560"/>
                        </a:avLst>
                      </a:prstGeom>
                      <a:solidFill>
                        <a:srgbClr val="FFFFFF"/>
                      </a:solidFill>
                      <a:ln w="3240">
                        <a:solidFill>
                          <a:srgbClr val="808080"/>
                        </a:solidFill>
                        <a:round/>
                      </a:ln>
                    </wps:spPr>
                    <wps:style>
                      <a:lnRef idx="0">
                        <a:scrgbClr r="0" g="0" b="0"/>
                      </a:lnRef>
                      <a:fillRef idx="0">
                        <a:scrgbClr r="0" g="0" b="0"/>
                      </a:fillRef>
                      <a:effectRef idx="0">
                        <a:scrgbClr r="0" g="0" b="0"/>
                      </a:effectRef>
                      <a:fontRef idx="minor"/>
                    </wps:style>
                    <wps:txbx>
                      <w:txbxContent>
                        <w:sdt>
                          <w:sdtPr>
                            <w:id w:val="449558610"/>
                            <w:docPartObj>
                              <w:docPartGallery w:val="Page Numbers (Bottom of Page)"/>
                              <w:docPartUnique/>
                            </w:docPartObj>
                          </w:sdtPr>
                          <w:sdtEndPr/>
                          <w:sdtContent>
                            <w:p w14:paraId="505DF590" w14:textId="2D25D35C" w:rsidR="004530F5" w:rsidRDefault="00D04F14">
                              <w:pPr>
                                <w:pStyle w:val="Contenudecadre"/>
                                <w:jc w:val="center"/>
                              </w:pPr>
                              <w:r>
                                <w:rPr>
                                  <w:sz w:val="16"/>
                                  <w:szCs w:val="16"/>
                                </w:rPr>
                                <w:fldChar w:fldCharType="begin"/>
                              </w:r>
                              <w:r>
                                <w:rPr>
                                  <w:sz w:val="16"/>
                                  <w:szCs w:val="16"/>
                                </w:rPr>
                                <w:instrText>PAGE</w:instrText>
                              </w:r>
                              <w:r>
                                <w:rPr>
                                  <w:sz w:val="16"/>
                                  <w:szCs w:val="16"/>
                                </w:rPr>
                                <w:fldChar w:fldCharType="separate"/>
                              </w:r>
                              <w:r w:rsidR="003343AC">
                                <w:rPr>
                                  <w:noProof/>
                                  <w:sz w:val="16"/>
                                  <w:szCs w:val="16"/>
                                </w:rPr>
                                <w:t>1</w:t>
                              </w:r>
                              <w:r>
                                <w:rPr>
                                  <w:sz w:val="16"/>
                                  <w:szCs w:val="16"/>
                                </w:rPr>
                                <w:fldChar w:fldCharType="end"/>
                              </w:r>
                            </w:p>
                          </w:sdtContent>
                        </w:sdt>
                      </w:txbxContent>
                    </wps:txbx>
                    <wps:bodyPr>
                      <a:noAutofit/>
                    </wps:bodyPr>
                  </wps:wsp>
                </a:graphicData>
              </a:graphic>
            </wp:anchor>
          </w:drawing>
        </mc:Choice>
        <mc:Fallback>
          <w:pict>
            <v:shapetype w14:anchorId="607082A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529.35pt;width:29.05pt;height:21.65pt;z-index:-503316473;visibility:visible;mso-wrap-style:square;mso-wrap-distance-left:0;mso-wrap-distance-top:0;mso-wrap-distance-right:0;mso-wrap-distance-bottom:0;mso-position-horizontal:left;mso-position-horizontal-relative:righ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" adj="14135" strokecolor="gray" strokeweight=".09mm">
              <v:textbox>
                <w:txbxContent>
                  <w:sdt>
                    <w:sdtPr>
                      <w:id w:val="449558610"/>
                      <w:docPartObj>
                        <w:docPartGallery w:val="Page Numbers (Bottom of Page)"/>
                        <w:docPartUnique/>
                      </w:docPartObj>
                    </w:sdtPr>
                    <w:sdtEndPr/>
                    <w:sdtContent>
                      <w:p w14:paraId="505DF590" w14:textId="2D25D35C" w:rsidR="004530F5" w:rsidRDefault="00D04F14">
                        <w:pPr>
                          <w:pStyle w:val="Contenudecadre"/>
                          <w:jc w:val="center"/>
                        </w:pPr>
                        <w:r>
                          <w:rPr>
                            <w:sz w:val="16"/>
                            <w:szCs w:val="16"/>
                          </w:rPr>
                          <w:fldChar w:fldCharType="begin"/>
                        </w:r>
                        <w:r>
                          <w:rPr>
                            <w:sz w:val="16"/>
                            <w:szCs w:val="16"/>
                          </w:rPr>
                          <w:instrText>PAGE</w:instrText>
                        </w:r>
                        <w:r>
                          <w:rPr>
                            <w:sz w:val="16"/>
                            <w:szCs w:val="16"/>
                          </w:rPr>
                          <w:fldChar w:fldCharType="separate"/>
                        </w:r>
                        <w:r w:rsidR="003343AC">
                          <w:rPr>
                            <w:noProof/>
                            <w:sz w:val="16"/>
                            <w:szCs w:val="16"/>
                          </w:rPr>
                          <w:t>1</w:t>
                        </w:r>
                        <w:r>
                          <w:rPr>
                            <w:sz w:val="16"/>
                            <w:szCs w:val="16"/>
                          </w:rPr>
                          <w:fldChar w:fldCharType="end"/>
                        </w:r>
                      </w:p>
                    </w:sdtContent>
                  </w:sdt>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C1AD0" w14:textId="77777777" w:rsidR="00867328" w:rsidRDefault="00867328">
      <w:pPr>
        <w:spacing w:after="0" w:line="240" w:lineRule="auto"/>
      </w:pPr>
      <w:r>
        <w:separator/>
      </w:r>
    </w:p>
  </w:footnote>
  <w:footnote w:type="continuationSeparator" w:id="0">
    <w:p w14:paraId="4CDA98F2" w14:textId="77777777" w:rsidR="00867328" w:rsidRDefault="00867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E0399"/>
    <w:multiLevelType w:val="multilevel"/>
    <w:tmpl w:val="4790D59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7C2CBF"/>
    <w:multiLevelType w:val="multilevel"/>
    <w:tmpl w:val="D01C6E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99B0D32"/>
    <w:multiLevelType w:val="hybridMultilevel"/>
    <w:tmpl w:val="6BC86EC4"/>
    <w:lvl w:ilvl="0" w:tplc="3988A3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F5"/>
    <w:rsid w:val="00163269"/>
    <w:rsid w:val="001E022C"/>
    <w:rsid w:val="001F2FE4"/>
    <w:rsid w:val="00265AEB"/>
    <w:rsid w:val="00281B55"/>
    <w:rsid w:val="002F353E"/>
    <w:rsid w:val="003121BD"/>
    <w:rsid w:val="003343AC"/>
    <w:rsid w:val="003B3B63"/>
    <w:rsid w:val="003B3DE0"/>
    <w:rsid w:val="004530F5"/>
    <w:rsid w:val="00462BB2"/>
    <w:rsid w:val="004F15B4"/>
    <w:rsid w:val="005079AE"/>
    <w:rsid w:val="00551469"/>
    <w:rsid w:val="0065404D"/>
    <w:rsid w:val="00654496"/>
    <w:rsid w:val="00666DCE"/>
    <w:rsid w:val="0069193C"/>
    <w:rsid w:val="006B3AAA"/>
    <w:rsid w:val="006B7EBA"/>
    <w:rsid w:val="00706AD5"/>
    <w:rsid w:val="00724D4C"/>
    <w:rsid w:val="007641A7"/>
    <w:rsid w:val="007A0278"/>
    <w:rsid w:val="007E5EB5"/>
    <w:rsid w:val="007F2A52"/>
    <w:rsid w:val="00810295"/>
    <w:rsid w:val="008200C2"/>
    <w:rsid w:val="00831173"/>
    <w:rsid w:val="00867328"/>
    <w:rsid w:val="008F5C8D"/>
    <w:rsid w:val="00975997"/>
    <w:rsid w:val="009B3666"/>
    <w:rsid w:val="00A43414"/>
    <w:rsid w:val="00B11C6F"/>
    <w:rsid w:val="00B23CEC"/>
    <w:rsid w:val="00BC17FD"/>
    <w:rsid w:val="00BD1ACE"/>
    <w:rsid w:val="00C34A67"/>
    <w:rsid w:val="00C50BEA"/>
    <w:rsid w:val="00D04F14"/>
    <w:rsid w:val="00D11845"/>
    <w:rsid w:val="00D94C79"/>
    <w:rsid w:val="00DC128A"/>
    <w:rsid w:val="00DD0572"/>
    <w:rsid w:val="00E5783C"/>
    <w:rsid w:val="00EA0D7A"/>
    <w:rsid w:val="00EA78AA"/>
    <w:rsid w:val="00F2458D"/>
    <w:rsid w:val="00F73255"/>
    <w:rsid w:val="00FF623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7D5A"/>
  <w15:docId w15:val="{61A29B21-C42F-46AC-9307-484C8FFC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103"/>
    <w:pPr>
      <w:spacing w:after="160" w:line="259" w:lineRule="auto"/>
    </w:pPr>
  </w:style>
  <w:style w:type="paragraph" w:styleId="Titre1">
    <w:name w:val="heading 1"/>
    <w:basedOn w:val="Normal"/>
    <w:next w:val="Normal"/>
    <w:link w:val="Titre1Car"/>
    <w:uiPriority w:val="9"/>
    <w:qFormat/>
    <w:rsid w:val="00432F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
    <w:next w:val="Normal"/>
    <w:link w:val="Titre2Car"/>
    <w:uiPriority w:val="9"/>
    <w:unhideWhenUsed/>
    <w:qFormat/>
    <w:rsid w:val="00432F88"/>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qFormat/>
    <w:rsid w:val="00432F88"/>
    <w:rPr>
      <w:rFonts w:ascii="Times New Roman" w:eastAsia="Times New Roman" w:hAnsi="Times New Roman" w:cs="Times New Roman"/>
      <w:b/>
      <w:sz w:val="24"/>
      <w:szCs w:val="24"/>
      <w:lang w:eastAsia="fr-FR"/>
    </w:rPr>
  </w:style>
  <w:style w:type="character" w:customStyle="1" w:styleId="Titre1Car">
    <w:name w:val="Titre 1 Car"/>
    <w:basedOn w:val="Policepardfaut"/>
    <w:link w:val="Titre1"/>
    <w:uiPriority w:val="9"/>
    <w:qFormat/>
    <w:rsid w:val="00432F88"/>
    <w:rPr>
      <w:rFonts w:asciiTheme="majorHAnsi" w:eastAsiaTheme="majorEastAsia" w:hAnsiTheme="majorHAnsi" w:cstheme="majorBidi"/>
      <w:color w:val="2E74B5" w:themeColor="accent1" w:themeShade="BF"/>
      <w:sz w:val="32"/>
      <w:szCs w:val="32"/>
    </w:rPr>
  </w:style>
  <w:style w:type="character" w:customStyle="1" w:styleId="LienInternet">
    <w:name w:val="Lien Internet"/>
    <w:basedOn w:val="Policepardfaut"/>
    <w:uiPriority w:val="99"/>
    <w:unhideWhenUsed/>
    <w:rsid w:val="00372100"/>
    <w:rPr>
      <w:color w:val="0563C1" w:themeColor="hyperlink"/>
      <w:u w:val="single"/>
    </w:rPr>
  </w:style>
  <w:style w:type="character" w:customStyle="1" w:styleId="Titre2Car">
    <w:name w:val="Titre 2 Car"/>
    <w:basedOn w:val="Policepardfaut"/>
    <w:link w:val="Titre2"/>
    <w:uiPriority w:val="9"/>
    <w:qFormat/>
    <w:rsid w:val="00432F88"/>
    <w:rPr>
      <w:rFonts w:ascii="Times New Roman" w:eastAsia="Times New Roman" w:hAnsi="Times New Roman" w:cs="Times New Roman"/>
      <w:b/>
      <w:sz w:val="24"/>
      <w:szCs w:val="24"/>
      <w:lang w:eastAsia="fr-FR"/>
    </w:rPr>
  </w:style>
  <w:style w:type="character" w:styleId="lev">
    <w:name w:val="Strong"/>
    <w:basedOn w:val="Policepardfaut"/>
    <w:uiPriority w:val="22"/>
    <w:qFormat/>
    <w:rsid w:val="00432F88"/>
    <w:rPr>
      <w:b/>
      <w:bCs/>
    </w:rPr>
  </w:style>
  <w:style w:type="character" w:customStyle="1" w:styleId="TextedebullesCar">
    <w:name w:val="Texte de bulles Car"/>
    <w:basedOn w:val="Policepardfaut"/>
    <w:link w:val="Textedebulles"/>
    <w:uiPriority w:val="99"/>
    <w:semiHidden/>
    <w:qFormat/>
    <w:rsid w:val="008307C1"/>
    <w:rPr>
      <w:rFonts w:ascii="Segoe UI" w:hAnsi="Segoe UI" w:cs="Segoe UI"/>
      <w:sz w:val="18"/>
      <w:szCs w:val="18"/>
    </w:rPr>
  </w:style>
  <w:style w:type="character" w:styleId="Marquedecommentaire">
    <w:name w:val="annotation reference"/>
    <w:basedOn w:val="Policepardfaut"/>
    <w:uiPriority w:val="99"/>
    <w:semiHidden/>
    <w:unhideWhenUsed/>
    <w:qFormat/>
    <w:rsid w:val="00704AB8"/>
    <w:rPr>
      <w:sz w:val="16"/>
      <w:szCs w:val="16"/>
    </w:rPr>
  </w:style>
  <w:style w:type="character" w:customStyle="1" w:styleId="CommentaireCar">
    <w:name w:val="Commentaire Car"/>
    <w:basedOn w:val="Policepardfaut"/>
    <w:link w:val="Commentaire"/>
    <w:uiPriority w:val="99"/>
    <w:semiHidden/>
    <w:qFormat/>
    <w:rsid w:val="00704AB8"/>
    <w:rPr>
      <w:sz w:val="20"/>
      <w:szCs w:val="20"/>
    </w:rPr>
  </w:style>
  <w:style w:type="character" w:customStyle="1" w:styleId="ObjetducommentaireCar">
    <w:name w:val="Objet du commentaire Car"/>
    <w:basedOn w:val="CommentaireCar"/>
    <w:link w:val="Objetducommentaire"/>
    <w:uiPriority w:val="99"/>
    <w:semiHidden/>
    <w:qFormat/>
    <w:rsid w:val="00704AB8"/>
    <w:rPr>
      <w:b/>
      <w:bCs/>
      <w:sz w:val="20"/>
      <w:szCs w:val="20"/>
    </w:rPr>
  </w:style>
  <w:style w:type="character" w:customStyle="1" w:styleId="LienInternetvisit">
    <w:name w:val="Lien Internet visité"/>
    <w:basedOn w:val="Policepardfaut"/>
    <w:uiPriority w:val="99"/>
    <w:semiHidden/>
    <w:unhideWhenUsed/>
    <w:rsid w:val="00CB366D"/>
    <w:rPr>
      <w:color w:val="954F72" w:themeColor="followedHyperlink"/>
      <w:u w:val="single"/>
    </w:rPr>
  </w:style>
  <w:style w:type="character" w:customStyle="1" w:styleId="Retraitcorpsdetexte3Car">
    <w:name w:val="Retrait corps de texte 3 Car"/>
    <w:basedOn w:val="Policepardfaut"/>
    <w:link w:val="Retraitcorpsdetexte3"/>
    <w:qFormat/>
    <w:rsid w:val="00372100"/>
    <w:rPr>
      <w:rFonts w:ascii="Arial" w:hAnsi="Arial" w:cs="Arial"/>
      <w:color w:val="00000A"/>
      <w:sz w:val="20"/>
      <w:szCs w:val="20"/>
    </w:rPr>
  </w:style>
  <w:style w:type="character" w:customStyle="1" w:styleId="RetraitcorpsdetexteCar">
    <w:name w:val="Retrait corps de texte Car"/>
    <w:basedOn w:val="Policepardfaut"/>
    <w:link w:val="Retraitcorpsdetexte"/>
    <w:qFormat/>
    <w:rsid w:val="00372100"/>
    <w:rPr>
      <w:rFonts w:ascii="Arial" w:hAnsi="Arial" w:cs="Arial"/>
      <w:color w:val="0000FF"/>
      <w:sz w:val="20"/>
      <w:szCs w:val="20"/>
    </w:rPr>
  </w:style>
  <w:style w:type="character" w:customStyle="1" w:styleId="En-tteCar">
    <w:name w:val="En-tête Car"/>
    <w:basedOn w:val="Policepardfaut"/>
    <w:uiPriority w:val="99"/>
    <w:qFormat/>
    <w:rsid w:val="00CF0248"/>
  </w:style>
  <w:style w:type="character" w:customStyle="1" w:styleId="PieddepageCar">
    <w:name w:val="Pied de page Car"/>
    <w:basedOn w:val="Policepardfaut"/>
    <w:link w:val="Pieddepage"/>
    <w:uiPriority w:val="99"/>
    <w:qFormat/>
    <w:rsid w:val="00CF0248"/>
  </w:style>
  <w:style w:type="character" w:styleId="Textedelespacerserv">
    <w:name w:val="Placeholder Text"/>
    <w:basedOn w:val="Policepardfaut"/>
    <w:uiPriority w:val="99"/>
    <w:semiHidden/>
    <w:qFormat/>
    <w:rsid w:val="005723E0"/>
    <w:rPr>
      <w:color w:val="808080"/>
    </w:rPr>
  </w:style>
  <w:style w:type="paragraph" w:styleId="Titre">
    <w:name w:val="Title"/>
    <w:basedOn w:val="Normal"/>
    <w:next w:val="Corpsdetexte"/>
    <w:link w:val="TitreCar"/>
    <w:uiPriority w:val="10"/>
    <w:qFormat/>
    <w:rsid w:val="00432F88"/>
    <w:pPr>
      <w:spacing w:after="0" w:line="240" w:lineRule="auto"/>
    </w:pPr>
    <w:rPr>
      <w:rFonts w:ascii="Times New Roman" w:eastAsia="Times New Roman" w:hAnsi="Times New Roman" w:cs="Times New Roman"/>
      <w:b/>
      <w:sz w:val="24"/>
      <w:szCs w:val="24"/>
      <w:lang w:eastAsia="fr-FR"/>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En-ttedetabledesmatires">
    <w:name w:val="TOC Heading"/>
    <w:basedOn w:val="Titre1"/>
    <w:next w:val="Normal"/>
    <w:uiPriority w:val="39"/>
    <w:unhideWhenUsed/>
    <w:qFormat/>
    <w:rsid w:val="00432F88"/>
    <w:rPr>
      <w:lang w:eastAsia="fr-FR"/>
    </w:rPr>
  </w:style>
  <w:style w:type="paragraph" w:styleId="TM1">
    <w:name w:val="toc 1"/>
    <w:basedOn w:val="Normal"/>
    <w:next w:val="Normal"/>
    <w:autoRedefine/>
    <w:uiPriority w:val="39"/>
    <w:unhideWhenUsed/>
    <w:rsid w:val="00432F88"/>
    <w:pPr>
      <w:spacing w:after="100"/>
    </w:pPr>
  </w:style>
  <w:style w:type="paragraph" w:styleId="TM2">
    <w:name w:val="toc 2"/>
    <w:basedOn w:val="Normal"/>
    <w:next w:val="Normal"/>
    <w:autoRedefine/>
    <w:uiPriority w:val="39"/>
    <w:unhideWhenUsed/>
    <w:rsid w:val="00432F88"/>
    <w:pPr>
      <w:spacing w:after="100"/>
      <w:ind w:left="220"/>
    </w:pPr>
    <w:rPr>
      <w:rFonts w:eastAsiaTheme="minorEastAsia" w:cs="Times New Roman"/>
      <w:lang w:eastAsia="fr-FR"/>
    </w:rPr>
  </w:style>
  <w:style w:type="paragraph" w:styleId="TM3">
    <w:name w:val="toc 3"/>
    <w:basedOn w:val="Normal"/>
    <w:next w:val="Normal"/>
    <w:autoRedefine/>
    <w:uiPriority w:val="39"/>
    <w:unhideWhenUsed/>
    <w:rsid w:val="00432F88"/>
    <w:pPr>
      <w:spacing w:after="100"/>
      <w:ind w:left="440"/>
    </w:pPr>
    <w:rPr>
      <w:rFonts w:eastAsiaTheme="minorEastAsia" w:cs="Times New Roman"/>
      <w:lang w:eastAsia="fr-FR"/>
    </w:rPr>
  </w:style>
  <w:style w:type="paragraph" w:styleId="NormalWeb">
    <w:name w:val="Normal (Web)"/>
    <w:basedOn w:val="Normal"/>
    <w:uiPriority w:val="99"/>
    <w:unhideWhenUsed/>
    <w:qFormat/>
    <w:rsid w:val="00432F88"/>
    <w:pPr>
      <w:spacing w:beforeAutospacing="1"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qFormat/>
    <w:rsid w:val="008307C1"/>
    <w:pPr>
      <w:spacing w:after="0" w:line="240" w:lineRule="auto"/>
    </w:pPr>
    <w:rPr>
      <w:rFonts w:ascii="Segoe UI" w:hAnsi="Segoe UI" w:cs="Segoe UI"/>
      <w:sz w:val="18"/>
      <w:szCs w:val="18"/>
    </w:rPr>
  </w:style>
  <w:style w:type="paragraph" w:styleId="Paragraphedeliste">
    <w:name w:val="List Paragraph"/>
    <w:basedOn w:val="Normal"/>
    <w:uiPriority w:val="34"/>
    <w:qFormat/>
    <w:rsid w:val="008307C1"/>
    <w:pPr>
      <w:ind w:left="720"/>
      <w:contextualSpacing/>
    </w:pPr>
  </w:style>
  <w:style w:type="paragraph" w:styleId="Commentaire">
    <w:name w:val="annotation text"/>
    <w:basedOn w:val="Normal"/>
    <w:link w:val="CommentaireCar"/>
    <w:uiPriority w:val="99"/>
    <w:semiHidden/>
    <w:unhideWhenUsed/>
    <w:qFormat/>
    <w:rsid w:val="00704AB8"/>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704AB8"/>
    <w:rPr>
      <w:b/>
      <w:bCs/>
    </w:rPr>
  </w:style>
  <w:style w:type="paragraph" w:styleId="Sansinterligne">
    <w:name w:val="No Spacing"/>
    <w:uiPriority w:val="1"/>
    <w:qFormat/>
    <w:rsid w:val="00273EF3"/>
  </w:style>
  <w:style w:type="paragraph" w:styleId="Retraitcorpsdetexte3">
    <w:name w:val="Body Text Indent 3"/>
    <w:basedOn w:val="Normal"/>
    <w:link w:val="Retraitcorpsdetexte3Car"/>
    <w:qFormat/>
    <w:rsid w:val="00372100"/>
    <w:pPr>
      <w:ind w:left="426"/>
      <w:jc w:val="both"/>
    </w:pPr>
    <w:rPr>
      <w:rFonts w:ascii="Arial" w:hAnsi="Arial" w:cs="Arial"/>
      <w:color w:val="00000A"/>
      <w:sz w:val="20"/>
      <w:szCs w:val="20"/>
    </w:rPr>
  </w:style>
  <w:style w:type="paragraph" w:styleId="Retraitcorpsdetexte">
    <w:name w:val="Body Text Indent"/>
    <w:basedOn w:val="Normal"/>
    <w:link w:val="RetraitcorpsdetexteCar"/>
    <w:rsid w:val="00372100"/>
    <w:pPr>
      <w:ind w:left="708"/>
      <w:jc w:val="both"/>
    </w:pPr>
    <w:rPr>
      <w:rFonts w:ascii="Arial" w:hAnsi="Arial" w:cs="Arial"/>
      <w:color w:val="0000FF"/>
      <w:sz w:val="20"/>
      <w:szCs w:val="20"/>
    </w:rPr>
  </w:style>
  <w:style w:type="paragraph" w:customStyle="1" w:styleId="En-tteetpieddepage">
    <w:name w:val="En-tête et pied de page"/>
    <w:basedOn w:val="Normal"/>
    <w:qFormat/>
  </w:style>
  <w:style w:type="paragraph" w:styleId="En-tte">
    <w:name w:val="header"/>
    <w:basedOn w:val="Normal"/>
    <w:uiPriority w:val="99"/>
    <w:unhideWhenUsed/>
    <w:rsid w:val="00CF0248"/>
    <w:pPr>
      <w:tabs>
        <w:tab w:val="center" w:pos="4536"/>
        <w:tab w:val="right" w:pos="9072"/>
      </w:tabs>
      <w:spacing w:after="0" w:line="240" w:lineRule="auto"/>
    </w:pPr>
  </w:style>
  <w:style w:type="paragraph" w:styleId="Pieddepage">
    <w:name w:val="footer"/>
    <w:basedOn w:val="Normal"/>
    <w:link w:val="PieddepageCar"/>
    <w:uiPriority w:val="99"/>
    <w:unhideWhenUsed/>
    <w:rsid w:val="00CF0248"/>
    <w:pPr>
      <w:tabs>
        <w:tab w:val="center" w:pos="4536"/>
        <w:tab w:val="right" w:pos="9072"/>
      </w:tabs>
      <w:spacing w:after="0" w:line="240" w:lineRule="auto"/>
    </w:pPr>
  </w:style>
  <w:style w:type="paragraph" w:customStyle="1" w:styleId="Textbody">
    <w:name w:val="Text body"/>
    <w:basedOn w:val="Normal"/>
    <w:qFormat/>
    <w:rsid w:val="00452443"/>
    <w:pPr>
      <w:spacing w:after="140" w:line="276" w:lineRule="auto"/>
      <w:textAlignment w:val="baseline"/>
    </w:pPr>
    <w:rPr>
      <w:rFonts w:ascii="Liberation Serif" w:eastAsia="NSimSun" w:hAnsi="Liberation Serif" w:cs="Lucida Sans"/>
      <w:sz w:val="24"/>
      <w:szCs w:val="24"/>
      <w:lang w:eastAsia="zh-CN" w:bidi="hi-IN"/>
    </w:rPr>
  </w:style>
  <w:style w:type="paragraph" w:customStyle="1" w:styleId="Contenudecadre">
    <w:name w:val="Contenu de cadre"/>
    <w:basedOn w:val="Normal"/>
    <w:qFormat/>
  </w:style>
  <w:style w:type="table" w:styleId="Grilledutableau">
    <w:name w:val="Table Grid"/>
    <w:basedOn w:val="TableauNormal"/>
    <w:uiPriority w:val="39"/>
    <w:rsid w:val="0093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4220&amp;idArticle=LEGIARTI000006832985&amp;dateTexte=&amp;categorieLien=cid" TargetMode="External"/><Relationship Id="rId13" Type="http://schemas.openxmlformats.org/officeDocument/2006/relationships/hyperlink" Target="https://www.legifrance.gouv.fr/affichCodeArticle.do?cidTexte=LEGITEXT000006074220&amp;idArticle=LEGIARTI000006836762&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cidTexte=LEGITEXT000006074220&amp;idArticle=LEGIARTI000006836759&amp;dateTexte=&amp;categorieLien=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4220&amp;idArticle=LEGIARTI000006836759&amp;dateTexte=&amp;categorieLien=c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affichCodeArticle.do?cidTexte=LEGITEXT000006074220&amp;idArticle=LEGIARTI000006832989&amp;dateTexte=&amp;categorieLien=cid"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74220&amp;idArticle=LEGIARTI000006836759&amp;dateTexte=&amp;categorieLien=cid"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DAFA0-8724-446A-B7AC-90E963F5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2728</Words>
  <Characters>15006</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LEQUIEN A</dc:creator>
  <dc:description/>
  <cp:lastModifiedBy>LEQUIEN Alexandra</cp:lastModifiedBy>
  <cp:revision>2</cp:revision>
  <cp:lastPrinted>2019-12-16T18:07:00Z</cp:lastPrinted>
  <dcterms:created xsi:type="dcterms:W3CDTF">2021-01-22T07:53:00Z</dcterms:created>
  <dcterms:modified xsi:type="dcterms:W3CDTF">2021-01-22T07:53:00Z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